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91C" w:rsidRPr="00086798" w:rsidRDefault="00086798" w:rsidP="00086798">
      <w:pPr>
        <w:rPr>
          <w:rFonts w:ascii="Times New Roman" w:hAnsi="Times New Roman" w:cs="Times New Roman"/>
          <w:b/>
          <w:sz w:val="28"/>
          <w:szCs w:val="28"/>
          <w:lang w:val="uk-UA"/>
        </w:rPr>
      </w:pPr>
      <w:r w:rsidRPr="00086798">
        <w:rPr>
          <w:rFonts w:ascii="Times New Roman" w:hAnsi="Times New Roman" w:cs="Times New Roman"/>
          <w:b/>
          <w:sz w:val="28"/>
          <w:szCs w:val="28"/>
          <w:lang w:val="uk-UA"/>
        </w:rPr>
        <w:t xml:space="preserve">Створення сучасного  безпечного освітнього середовища </w:t>
      </w:r>
      <w:r>
        <w:rPr>
          <w:rFonts w:ascii="Times New Roman" w:hAnsi="Times New Roman" w:cs="Times New Roman"/>
          <w:b/>
          <w:sz w:val="28"/>
          <w:szCs w:val="28"/>
          <w:lang w:val="uk-UA"/>
        </w:rPr>
        <w:t xml:space="preserve"> </w:t>
      </w:r>
      <w:r w:rsidRPr="00086798">
        <w:rPr>
          <w:rFonts w:ascii="Times New Roman" w:hAnsi="Times New Roman" w:cs="Times New Roman"/>
          <w:b/>
          <w:sz w:val="28"/>
          <w:szCs w:val="28"/>
          <w:lang w:val="uk-UA"/>
        </w:rPr>
        <w:t>у з</w:t>
      </w:r>
      <w:r w:rsidRPr="00086798">
        <w:rPr>
          <w:rFonts w:ascii="Times New Roman" w:hAnsi="Times New Roman" w:cs="Times New Roman"/>
          <w:b/>
          <w:sz w:val="28"/>
          <w:szCs w:val="28"/>
          <w:lang w:val="uk-UA"/>
        </w:rPr>
        <w:t>акладі освіти</w:t>
      </w:r>
    </w:p>
    <w:p w:rsidR="00086798" w:rsidRDefault="00086798" w:rsidP="00086798">
      <w:pPr>
        <w:spacing w:after="0" w:line="240" w:lineRule="auto"/>
        <w:ind w:firstLineChars="217" w:firstLine="521"/>
        <w:jc w:val="right"/>
        <w:rPr>
          <w:rFonts w:ascii="Times New Roman" w:hAnsi="Times New Roman" w:cs="Times New Roman"/>
          <w:b/>
          <w:i/>
          <w:sz w:val="24"/>
          <w:szCs w:val="28"/>
          <w:lang w:val="uk-UA"/>
        </w:rPr>
      </w:pPr>
      <w:r w:rsidRPr="00086798">
        <w:rPr>
          <w:rFonts w:ascii="Times New Roman" w:hAnsi="Times New Roman" w:cs="Times New Roman"/>
          <w:b/>
          <w:i/>
          <w:sz w:val="24"/>
          <w:szCs w:val="28"/>
          <w:lang w:val="uk-UA"/>
        </w:rPr>
        <w:t>(Дмитренко Ірина, заступник директора</w:t>
      </w:r>
      <w:r>
        <w:rPr>
          <w:rFonts w:ascii="Times New Roman" w:hAnsi="Times New Roman" w:cs="Times New Roman"/>
          <w:b/>
          <w:i/>
          <w:sz w:val="24"/>
          <w:szCs w:val="28"/>
          <w:lang w:val="uk-UA"/>
        </w:rPr>
        <w:t>)</w:t>
      </w:r>
    </w:p>
    <w:p w:rsidR="00086798" w:rsidRDefault="00086798" w:rsidP="00086798">
      <w:pPr>
        <w:spacing w:after="0" w:line="240" w:lineRule="auto"/>
        <w:ind w:firstLineChars="217" w:firstLine="521"/>
        <w:jc w:val="right"/>
        <w:rPr>
          <w:rFonts w:ascii="Times New Roman" w:hAnsi="Times New Roman" w:cs="Times New Roman"/>
          <w:b/>
          <w:i/>
          <w:sz w:val="24"/>
          <w:szCs w:val="28"/>
          <w:lang w:val="uk-UA"/>
        </w:rPr>
      </w:pPr>
    </w:p>
    <w:p w:rsidR="00086798" w:rsidRPr="00086798" w:rsidRDefault="00086798" w:rsidP="00086798">
      <w:pPr>
        <w:spacing w:after="0" w:line="240" w:lineRule="auto"/>
        <w:ind w:firstLineChars="217" w:firstLine="694"/>
        <w:jc w:val="right"/>
        <w:rPr>
          <w:rFonts w:ascii="Georgia" w:eastAsia="Times New Roman" w:hAnsi="Georgia" w:cs="Bookman Old Style"/>
          <w:b/>
          <w:i/>
          <w:iCs/>
          <w:sz w:val="28"/>
          <w:szCs w:val="32"/>
          <w:lang w:val="uk-UA" w:eastAsia="uk-UA"/>
        </w:rPr>
      </w:pPr>
      <w:r w:rsidRPr="00086798">
        <w:rPr>
          <w:rFonts w:ascii="Georgia" w:eastAsia="Times New Roman" w:hAnsi="Georgia" w:cs="Bookman Old Style"/>
          <w:b/>
          <w:i/>
          <w:iCs/>
          <w:sz w:val="32"/>
          <w:szCs w:val="32"/>
          <w:lang w:val="uk-UA" w:eastAsia="uk-UA"/>
        </w:rPr>
        <w:t xml:space="preserve"> </w:t>
      </w:r>
      <w:r w:rsidRPr="00086798">
        <w:rPr>
          <w:rFonts w:ascii="Georgia" w:eastAsia="Times New Roman" w:hAnsi="Georgia" w:cs="Bookman Old Style"/>
          <w:b/>
          <w:i/>
          <w:iCs/>
          <w:sz w:val="28"/>
          <w:szCs w:val="32"/>
          <w:lang w:val="uk-UA" w:eastAsia="uk-UA"/>
        </w:rPr>
        <w:t>Безпека – це процес,</w:t>
      </w:r>
    </w:p>
    <w:p w:rsidR="00086798" w:rsidRPr="00086798" w:rsidRDefault="00086798" w:rsidP="00086798">
      <w:pPr>
        <w:spacing w:after="0" w:line="240" w:lineRule="auto"/>
        <w:ind w:firstLineChars="217" w:firstLine="608"/>
        <w:jc w:val="right"/>
        <w:rPr>
          <w:rFonts w:ascii="Georgia" w:eastAsia="Times New Roman" w:hAnsi="Georgia" w:cs="Bookman Old Style"/>
          <w:b/>
          <w:iCs/>
          <w:sz w:val="28"/>
          <w:szCs w:val="32"/>
          <w:lang w:val="uk-UA" w:eastAsia="uk-UA"/>
        </w:rPr>
      </w:pPr>
      <w:r w:rsidRPr="00086798">
        <w:rPr>
          <w:rFonts w:ascii="Georgia" w:eastAsia="Times New Roman" w:hAnsi="Georgia" w:cs="Bookman Old Style"/>
          <w:b/>
          <w:i/>
          <w:iCs/>
          <w:sz w:val="28"/>
          <w:szCs w:val="32"/>
          <w:lang w:val="uk-UA" w:eastAsia="uk-UA"/>
        </w:rPr>
        <w:t>а не результат.</w:t>
      </w:r>
    </w:p>
    <w:p w:rsidR="00086798" w:rsidRPr="00086798" w:rsidRDefault="00086798" w:rsidP="00086798">
      <w:pPr>
        <w:spacing w:after="0" w:line="240" w:lineRule="auto"/>
        <w:jc w:val="right"/>
        <w:rPr>
          <w:rFonts w:ascii="Georgia" w:eastAsia="Times New Roman" w:hAnsi="Georgia" w:cs="Bookman Old Style"/>
          <w:i/>
          <w:iCs/>
          <w:sz w:val="28"/>
          <w:szCs w:val="32"/>
          <w:lang w:val="uk-UA" w:eastAsia="uk-UA"/>
        </w:rPr>
      </w:pPr>
      <w:r w:rsidRPr="00086798">
        <w:rPr>
          <w:rFonts w:ascii="Georgia" w:eastAsia="Times New Roman" w:hAnsi="Georgia" w:cs="Bookman Old Style"/>
          <w:i/>
          <w:iCs/>
          <w:sz w:val="28"/>
          <w:szCs w:val="32"/>
          <w:lang w:val="uk-UA" w:eastAsia="uk-UA"/>
        </w:rPr>
        <w:t xml:space="preserve">Брюс </w:t>
      </w:r>
      <w:proofErr w:type="spellStart"/>
      <w:r w:rsidRPr="00086798">
        <w:rPr>
          <w:rFonts w:ascii="Georgia" w:eastAsia="Times New Roman" w:hAnsi="Georgia" w:cs="Bookman Old Style"/>
          <w:i/>
          <w:iCs/>
          <w:sz w:val="28"/>
          <w:szCs w:val="32"/>
          <w:lang w:val="uk-UA" w:eastAsia="uk-UA"/>
        </w:rPr>
        <w:t>Шнайєр</w:t>
      </w:r>
      <w:proofErr w:type="spellEnd"/>
    </w:p>
    <w:p w:rsidR="00086798" w:rsidRDefault="00086798" w:rsidP="00086798">
      <w:pPr>
        <w:spacing w:after="0" w:line="240" w:lineRule="auto"/>
        <w:ind w:left="284" w:right="333" w:firstLine="567"/>
        <w:jc w:val="center"/>
        <w:rPr>
          <w:rFonts w:ascii="Georgia" w:eastAsia="Times New Roman" w:hAnsi="Georgia" w:cs="Bookman Old Style"/>
          <w:color w:val="000000" w:themeColor="text1"/>
          <w:sz w:val="20"/>
          <w:szCs w:val="28"/>
          <w:lang w:val="uk-UA" w:eastAsia="ru-RU"/>
        </w:rPr>
      </w:pPr>
      <w:r>
        <w:rPr>
          <w:rFonts w:ascii="Georgia" w:eastAsia="Times New Roman" w:hAnsi="Georgia" w:cs="Bookman Old Style"/>
          <w:noProof/>
          <w:color w:val="000000" w:themeColor="text1"/>
          <w:sz w:val="20"/>
          <w:szCs w:val="28"/>
        </w:rPr>
        <w:drawing>
          <wp:inline distT="0" distB="0" distL="0" distR="0" wp14:anchorId="64821F7E" wp14:editId="6EFF0D85">
            <wp:extent cx="1950720" cy="1683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3547" cy="1728654"/>
                    </a:xfrm>
                    <a:prstGeom prst="rect">
                      <a:avLst/>
                    </a:prstGeom>
                    <a:noFill/>
                  </pic:spPr>
                </pic:pic>
              </a:graphicData>
            </a:graphic>
          </wp:inline>
        </w:drawing>
      </w:r>
      <w:bookmarkStart w:id="0" w:name="_GoBack"/>
      <w:bookmarkEnd w:id="0"/>
    </w:p>
    <w:p w:rsidR="00086798" w:rsidRPr="00086798" w:rsidRDefault="00086798" w:rsidP="00086798">
      <w:pPr>
        <w:spacing w:after="0" w:line="240" w:lineRule="auto"/>
        <w:ind w:left="284" w:right="333" w:firstLine="567"/>
        <w:jc w:val="both"/>
        <w:rPr>
          <w:rFonts w:ascii="Times New Roman" w:eastAsia="Times New Roman" w:hAnsi="Times New Roman" w:cs="Times New Roman"/>
          <w:color w:val="000000" w:themeColor="text1"/>
          <w:sz w:val="28"/>
          <w:szCs w:val="28"/>
          <w:lang w:val="uk-UA" w:eastAsia="ru-RU"/>
        </w:rPr>
      </w:pPr>
      <w:r w:rsidRPr="00086798">
        <w:rPr>
          <w:rFonts w:ascii="Times New Roman" w:eastAsia="Times New Roman" w:hAnsi="Times New Roman" w:cs="Times New Roman"/>
          <w:color w:val="000000" w:themeColor="text1"/>
          <w:sz w:val="28"/>
          <w:szCs w:val="28"/>
          <w:lang w:val="uk-UA" w:eastAsia="ru-RU"/>
        </w:rPr>
        <w:t xml:space="preserve">Розроблення Національної стратегії освіти обумовлене необхідністю побудови безпечного та здорового освітнього середовища у Новій Українській Школі для забезпечення прав дітей на освіту, охорону здоров’я, створення умов для надання здобувачам освіти якісних освітніх послуг. Формування безпечного освітнього середовища сприятиме кращій реалізації інтелектуального, фізичного, соціального та емоційного розвитку учнів, їх потенціалу, а також матиме позитивний вплив на стан громадського здоров’я, економіки та демографії в цілому в Україні. Формування безпечного і здорового освітнього середовища вимагає вирішення низки проблем, зокрема, пов’язаних із фізичним, психологічним насильством та </w:t>
      </w:r>
      <w:proofErr w:type="spellStart"/>
      <w:r w:rsidRPr="00086798">
        <w:rPr>
          <w:rFonts w:ascii="Times New Roman" w:eastAsia="Times New Roman" w:hAnsi="Times New Roman" w:cs="Times New Roman"/>
          <w:color w:val="000000" w:themeColor="text1"/>
          <w:sz w:val="28"/>
          <w:szCs w:val="28"/>
          <w:lang w:val="uk-UA" w:eastAsia="ru-RU"/>
        </w:rPr>
        <w:t>булінгом</w:t>
      </w:r>
      <w:proofErr w:type="spellEnd"/>
      <w:r w:rsidRPr="00086798">
        <w:rPr>
          <w:rFonts w:ascii="Times New Roman" w:eastAsia="Times New Roman" w:hAnsi="Times New Roman" w:cs="Times New Roman"/>
          <w:color w:val="000000" w:themeColor="text1"/>
          <w:sz w:val="28"/>
          <w:szCs w:val="28"/>
          <w:lang w:val="uk-UA" w:eastAsia="ru-RU"/>
        </w:rPr>
        <w:t xml:space="preserve"> (цькуванням), безвідповідальним використанням Інтернету, недостатньою готовністю педагогічних працівників запобігати та протидіяти насильству та </w:t>
      </w:r>
      <w:proofErr w:type="spellStart"/>
      <w:r w:rsidRPr="00086798">
        <w:rPr>
          <w:rFonts w:ascii="Times New Roman" w:eastAsia="Times New Roman" w:hAnsi="Times New Roman" w:cs="Times New Roman"/>
          <w:color w:val="000000" w:themeColor="text1"/>
          <w:sz w:val="28"/>
          <w:szCs w:val="28"/>
          <w:lang w:val="uk-UA" w:eastAsia="ru-RU"/>
        </w:rPr>
        <w:t>булінгу</w:t>
      </w:r>
      <w:proofErr w:type="spellEnd"/>
      <w:r w:rsidRPr="00086798">
        <w:rPr>
          <w:rFonts w:ascii="Times New Roman" w:eastAsia="Times New Roman" w:hAnsi="Times New Roman" w:cs="Times New Roman"/>
          <w:color w:val="000000" w:themeColor="text1"/>
          <w:sz w:val="28"/>
          <w:szCs w:val="28"/>
          <w:lang w:val="uk-UA" w:eastAsia="ru-RU"/>
        </w:rPr>
        <w:t xml:space="preserve"> (цькуванню) серед учасників освітнього процесу, непопулярністю серед дітей та підлітків культури здорового харчування, малорухливим способом життя, належним рівнем їх медичного забезпечення, а також загалом несистемним підходом до формування культури здорового та безпечного способу життя у суспільстві, недостатністю співпраці різних соціальних інституцій у подоланні зазначених проблем. середовищі, а це комфортні та безпечні умови для якісної освіти дітей. Сьогодні суспільство бажає бачити заклад освіти не лише одним з освітніх ресурсів, а, скоріше, простором розвитку та співпраці як всередині, так і по відношенню до зовнішнього світу.</w:t>
      </w:r>
    </w:p>
    <w:p w:rsidR="00086798" w:rsidRPr="00086798" w:rsidRDefault="00086798" w:rsidP="00086798">
      <w:pPr>
        <w:spacing w:after="0" w:line="240" w:lineRule="auto"/>
        <w:ind w:left="284" w:right="333" w:firstLine="567"/>
        <w:jc w:val="both"/>
        <w:rPr>
          <w:rFonts w:ascii="Times New Roman" w:eastAsia="Times New Roman" w:hAnsi="Times New Roman" w:cs="Times New Roman"/>
          <w:color w:val="000000" w:themeColor="text1"/>
          <w:sz w:val="28"/>
          <w:szCs w:val="28"/>
          <w:lang w:val="uk-UA" w:eastAsia="ru-RU"/>
        </w:rPr>
      </w:pPr>
      <w:r w:rsidRPr="00086798">
        <w:rPr>
          <w:rFonts w:ascii="Times New Roman" w:eastAsia="Times New Roman" w:hAnsi="Times New Roman" w:cs="Times New Roman"/>
          <w:color w:val="000000" w:themeColor="text1"/>
          <w:sz w:val="28"/>
          <w:szCs w:val="28"/>
          <w:lang w:val="uk-UA" w:eastAsia="ru-RU"/>
        </w:rPr>
        <w:t xml:space="preserve">Сучасне освітнє середовище створює неповторне індивідуалізоване та персоналізоване враження, де у кожного є можливість відшукати себе. Середовище закладу освіти – це місце, де зустрічаються та взаємодіють не лише учні, педагоги, жителі громади та гості школи, де відбуваються не лише </w:t>
      </w:r>
      <w:proofErr w:type="spellStart"/>
      <w:r w:rsidRPr="00086798">
        <w:rPr>
          <w:rFonts w:ascii="Times New Roman" w:eastAsia="Times New Roman" w:hAnsi="Times New Roman" w:cs="Times New Roman"/>
          <w:color w:val="000000" w:themeColor="text1"/>
          <w:sz w:val="28"/>
          <w:szCs w:val="28"/>
          <w:lang w:val="uk-UA" w:eastAsia="ru-RU"/>
        </w:rPr>
        <w:t>уроки</w:t>
      </w:r>
      <w:proofErr w:type="spellEnd"/>
      <w:r w:rsidRPr="00086798">
        <w:rPr>
          <w:rFonts w:ascii="Times New Roman" w:eastAsia="Times New Roman" w:hAnsi="Times New Roman" w:cs="Times New Roman"/>
          <w:color w:val="000000" w:themeColor="text1"/>
          <w:sz w:val="28"/>
          <w:szCs w:val="28"/>
          <w:lang w:val="uk-UA" w:eastAsia="ru-RU"/>
        </w:rPr>
        <w:t xml:space="preserve">, цікаві зустрічі, свята та концерти, але й лекції та семінари, </w:t>
      </w:r>
      <w:r w:rsidRPr="00086798">
        <w:rPr>
          <w:rFonts w:ascii="Times New Roman" w:eastAsia="Times New Roman" w:hAnsi="Times New Roman" w:cs="Times New Roman"/>
          <w:color w:val="000000" w:themeColor="text1"/>
          <w:sz w:val="28"/>
          <w:szCs w:val="28"/>
          <w:lang w:val="uk-UA" w:eastAsia="ru-RU"/>
        </w:rPr>
        <w:lastRenderedPageBreak/>
        <w:t>діють відкриті лабораторії та майстерні у різних галузях науки, мистецтва та технологій.</w:t>
      </w:r>
    </w:p>
    <w:p w:rsidR="00086798" w:rsidRPr="00086798" w:rsidRDefault="00086798" w:rsidP="00086798">
      <w:pPr>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086798">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14:anchorId="66B9B3EB" wp14:editId="7D383368">
            <wp:simplePos x="0" y="0"/>
            <wp:positionH relativeFrom="column">
              <wp:posOffset>2540</wp:posOffset>
            </wp:positionH>
            <wp:positionV relativeFrom="paragraph">
              <wp:posOffset>393065</wp:posOffset>
            </wp:positionV>
            <wp:extent cx="2432685" cy="1579880"/>
            <wp:effectExtent l="0" t="0" r="5715" b="1270"/>
            <wp:wrapTight wrapText="bothSides">
              <wp:wrapPolygon edited="0">
                <wp:start x="0" y="0"/>
                <wp:lineTo x="0" y="21357"/>
                <wp:lineTo x="21482" y="21357"/>
                <wp:lineTo x="21482" y="0"/>
                <wp:lineTo x="0" y="0"/>
              </wp:wrapPolygon>
            </wp:wrapTight>
            <wp:docPr id="3" name="Рисунок 3" descr="Безпечна школа, якою вона має бути? Громади мають змогу зробити заклади  освіти більш безпечними — приєднатися до пілотного проєкту “Вихователь  безпеки” | Освітній омбудсмен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печна школа, якою вона має бути? Громади мають змогу зробити заклади  освіти більш безпечними — приєднатися до пілотного проєкту “Вихователь  безпеки” | Освітній омбудсмен України"/>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565" t="5772" r="4959" b="3822"/>
                    <a:stretch/>
                  </pic:blipFill>
                  <pic:spPr bwMode="auto">
                    <a:xfrm>
                      <a:off x="0" y="0"/>
                      <a:ext cx="2432685" cy="1579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86798">
        <w:rPr>
          <w:rFonts w:ascii="Times New Roman" w:eastAsia="Times New Roman" w:hAnsi="Times New Roman" w:cs="Times New Roman"/>
          <w:b/>
          <w:sz w:val="28"/>
          <w:szCs w:val="28"/>
          <w:shd w:val="clear" w:color="auto" w:fill="FFFFFF"/>
          <w:lang w:val="uk-UA" w:eastAsia="ru-RU"/>
        </w:rPr>
        <w:t>Безпечне освітнє середовище</w:t>
      </w:r>
      <w:r w:rsidRPr="00086798">
        <w:rPr>
          <w:rFonts w:ascii="Times New Roman" w:eastAsia="Times New Roman" w:hAnsi="Times New Roman" w:cs="Times New Roman"/>
          <w:sz w:val="28"/>
          <w:szCs w:val="28"/>
          <w:shd w:val="clear" w:color="auto" w:fill="FFFFFF"/>
          <w:lang w:val="uk-UA" w:eastAsia="ru-RU"/>
        </w:rPr>
        <w:t xml:space="preserve"> – це стан освітнього середовища, в якому наявні безпечні умови навчання та праці, комфортна міжособистісна взаємодія, яка сприяє емоційному благополуччю усіх учасників освітнього процесу (учні, педагоги, батьки), відсутні будь-які прояви насильства та є достатні ресурси для їх запобігання, а також дотримано прав і норм фізичної, психологічної, інформаційної та соціальної безпеки кожного учасника освітнього процесу.</w:t>
      </w:r>
    </w:p>
    <w:p w:rsidR="00086798" w:rsidRPr="00086798" w:rsidRDefault="00086798" w:rsidP="00086798">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 xml:space="preserve">Такі негативні явища серед учнівської молоді, як насильство, </w:t>
      </w:r>
      <w:proofErr w:type="spellStart"/>
      <w:r w:rsidRPr="00086798">
        <w:rPr>
          <w:rFonts w:ascii="Times New Roman" w:eastAsia="Times New Roman" w:hAnsi="Times New Roman" w:cs="Times New Roman"/>
          <w:sz w:val="28"/>
          <w:szCs w:val="28"/>
          <w:lang w:val="uk-UA" w:eastAsia="uk-UA"/>
        </w:rPr>
        <w:t>булінг</w:t>
      </w:r>
      <w:proofErr w:type="spellEnd"/>
      <w:r w:rsidRPr="00086798">
        <w:rPr>
          <w:rFonts w:ascii="Times New Roman" w:eastAsia="Times New Roman" w:hAnsi="Times New Roman" w:cs="Times New Roman"/>
          <w:sz w:val="28"/>
          <w:szCs w:val="28"/>
          <w:lang w:val="uk-UA" w:eastAsia="uk-UA"/>
        </w:rPr>
        <w:t xml:space="preserve">, </w:t>
      </w:r>
      <w:proofErr w:type="spellStart"/>
      <w:r w:rsidRPr="00086798">
        <w:rPr>
          <w:rFonts w:ascii="Times New Roman" w:eastAsia="Times New Roman" w:hAnsi="Times New Roman" w:cs="Times New Roman"/>
          <w:sz w:val="28"/>
          <w:szCs w:val="28"/>
          <w:lang w:val="uk-UA" w:eastAsia="uk-UA"/>
        </w:rPr>
        <w:t>кібербулінг</w:t>
      </w:r>
      <w:proofErr w:type="spellEnd"/>
      <w:r w:rsidRPr="00086798">
        <w:rPr>
          <w:rFonts w:ascii="Times New Roman" w:eastAsia="Times New Roman" w:hAnsi="Times New Roman" w:cs="Times New Roman"/>
          <w:sz w:val="28"/>
          <w:szCs w:val="28"/>
          <w:lang w:val="uk-UA" w:eastAsia="uk-UA"/>
        </w:rPr>
        <w:t xml:space="preserve">, </w:t>
      </w:r>
      <w:proofErr w:type="spellStart"/>
      <w:r w:rsidRPr="00086798">
        <w:rPr>
          <w:rFonts w:ascii="Times New Roman" w:eastAsia="Times New Roman" w:hAnsi="Times New Roman" w:cs="Times New Roman"/>
          <w:sz w:val="28"/>
          <w:szCs w:val="28"/>
          <w:lang w:val="uk-UA" w:eastAsia="uk-UA"/>
        </w:rPr>
        <w:t>секстинг</w:t>
      </w:r>
      <w:proofErr w:type="spellEnd"/>
      <w:r w:rsidRPr="00086798">
        <w:rPr>
          <w:rFonts w:ascii="Times New Roman" w:eastAsia="Times New Roman" w:hAnsi="Times New Roman" w:cs="Times New Roman"/>
          <w:sz w:val="28"/>
          <w:szCs w:val="28"/>
          <w:lang w:val="uk-UA" w:eastAsia="uk-UA"/>
        </w:rPr>
        <w:t xml:space="preserve"> тощо, не можуть не турбувати громадськість, освітян та батьків. </w:t>
      </w:r>
      <w:proofErr w:type="spellStart"/>
      <w:r w:rsidRPr="00086798">
        <w:rPr>
          <w:rFonts w:ascii="Times New Roman" w:eastAsia="Times New Roman" w:hAnsi="Times New Roman" w:cs="Times New Roman"/>
          <w:sz w:val="28"/>
          <w:szCs w:val="28"/>
          <w:lang w:val="uk-UA" w:eastAsia="uk-UA"/>
        </w:rPr>
        <w:t>Логічно</w:t>
      </w:r>
      <w:proofErr w:type="spellEnd"/>
      <w:r w:rsidRPr="00086798">
        <w:rPr>
          <w:rFonts w:ascii="Times New Roman" w:eastAsia="Times New Roman" w:hAnsi="Times New Roman" w:cs="Times New Roman"/>
          <w:sz w:val="28"/>
          <w:szCs w:val="28"/>
          <w:lang w:val="uk-UA" w:eastAsia="uk-UA"/>
        </w:rPr>
        <w:t>, що виникає потреба у створенні безпечного освітнього простору у закладі освіти, щоб захистити, убезпечити та запобігти наслідкам впливу на особистість несприятливих чинників.</w:t>
      </w:r>
    </w:p>
    <w:p w:rsidR="00086798" w:rsidRPr="00086798" w:rsidRDefault="00086798" w:rsidP="00086798">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uk-UA"/>
        </w:rPr>
      </w:pPr>
      <w:r w:rsidRPr="00086798">
        <w:rPr>
          <w:rFonts w:ascii="Times New Roman" w:eastAsia="Times New Roman" w:hAnsi="Times New Roman" w:cs="Times New Roman"/>
          <w:sz w:val="28"/>
          <w:szCs w:val="28"/>
          <w:shd w:val="clear" w:color="auto" w:fill="FFFFFF"/>
          <w:lang w:val="uk-UA" w:eastAsia="uk-UA"/>
        </w:rPr>
        <w:t>Інституційний аудит визначає три основні складові безпечного освітнього середовища:</w:t>
      </w:r>
    </w:p>
    <w:p w:rsidR="00086798" w:rsidRPr="00086798" w:rsidRDefault="00086798" w:rsidP="00086798">
      <w:pPr>
        <w:numPr>
          <w:ilvl w:val="0"/>
          <w:numId w:val="1"/>
        </w:numPr>
        <w:shd w:val="clear" w:color="auto" w:fill="FFFFFF"/>
        <w:tabs>
          <w:tab w:val="left" w:pos="426"/>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shd w:val="clear" w:color="auto" w:fill="FFFFFF"/>
          <w:lang w:val="uk-UA" w:eastAsia="uk-UA"/>
        </w:rPr>
        <w:t>безпечні й комфортні умови праці та навчання;</w:t>
      </w:r>
    </w:p>
    <w:p w:rsidR="00086798" w:rsidRPr="00086798" w:rsidRDefault="00086798" w:rsidP="00086798">
      <w:pPr>
        <w:numPr>
          <w:ilvl w:val="0"/>
          <w:numId w:val="1"/>
        </w:numPr>
        <w:shd w:val="clear" w:color="auto" w:fill="FFFFFF"/>
        <w:tabs>
          <w:tab w:val="left" w:pos="426"/>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shd w:val="clear" w:color="auto" w:fill="FFFFFF"/>
          <w:lang w:val="uk-UA" w:eastAsia="uk-UA"/>
        </w:rPr>
        <w:t xml:space="preserve"> відсутність дискримінації та насильства;</w:t>
      </w:r>
    </w:p>
    <w:p w:rsidR="00086798" w:rsidRPr="00086798" w:rsidRDefault="00086798" w:rsidP="00086798">
      <w:pPr>
        <w:numPr>
          <w:ilvl w:val="0"/>
          <w:numId w:val="1"/>
        </w:numPr>
        <w:shd w:val="clear" w:color="auto" w:fill="FFFFFF"/>
        <w:tabs>
          <w:tab w:val="left" w:pos="426"/>
          <w:tab w:val="left" w:pos="993"/>
        </w:tabs>
        <w:spacing w:after="0" w:line="240" w:lineRule="auto"/>
        <w:ind w:left="0" w:firstLine="567"/>
        <w:jc w:val="both"/>
        <w:rPr>
          <w:rFonts w:ascii="Times New Roman" w:eastAsia="Times New Roman" w:hAnsi="Times New Roman" w:cs="Times New Roman"/>
          <w:sz w:val="28"/>
          <w:szCs w:val="28"/>
          <w:shd w:val="clear" w:color="auto" w:fill="FFFFFF"/>
          <w:lang w:val="uk-UA" w:eastAsia="uk-UA"/>
        </w:rPr>
      </w:pPr>
      <w:r w:rsidRPr="00086798">
        <w:rPr>
          <w:rFonts w:ascii="Times New Roman" w:eastAsia="Times New Roman" w:hAnsi="Times New Roman" w:cs="Times New Roman"/>
          <w:sz w:val="28"/>
          <w:szCs w:val="28"/>
          <w:shd w:val="clear" w:color="auto" w:fill="FFFFFF"/>
          <w:lang w:val="uk-UA" w:eastAsia="uk-UA"/>
        </w:rPr>
        <w:t>створення інклюзивного і мотивувального простору.</w:t>
      </w:r>
    </w:p>
    <w:p w:rsidR="00086798" w:rsidRPr="00086798" w:rsidRDefault="00086798" w:rsidP="00086798">
      <w:pPr>
        <w:rPr>
          <w:rFonts w:ascii="Times New Roman" w:eastAsia="Times New Roman" w:hAnsi="Times New Roman" w:cs="Times New Roman"/>
          <w:sz w:val="28"/>
          <w:szCs w:val="28"/>
          <w:shd w:val="clear" w:color="auto" w:fill="FFFFFF"/>
          <w:lang w:val="uk-UA" w:eastAsia="uk-UA"/>
        </w:rPr>
      </w:pPr>
      <w:r w:rsidRPr="00086798">
        <w:rPr>
          <w:rFonts w:ascii="Times New Roman" w:eastAsia="Times New Roman" w:hAnsi="Times New Roman" w:cs="Times New Roman"/>
          <w:b/>
          <w:sz w:val="28"/>
          <w:szCs w:val="28"/>
          <w:lang w:val="uk-UA" w:eastAsia="uk-UA"/>
        </w:rPr>
        <w:t>Несприятливі впливи середовища зумовлюють:</w:t>
      </w:r>
    </w:p>
    <w:p w:rsidR="00086798" w:rsidRPr="00086798" w:rsidRDefault="00086798" w:rsidP="00086798">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появу складних ситуацій у міжособистісному спілкуванні;</w:t>
      </w:r>
    </w:p>
    <w:p w:rsidR="00086798" w:rsidRPr="00086798" w:rsidRDefault="00086798" w:rsidP="00086798">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конфлікти з батьками, друзями, вчителями;</w:t>
      </w:r>
    </w:p>
    <w:p w:rsidR="00086798" w:rsidRPr="00086798" w:rsidRDefault="00086798" w:rsidP="00086798">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непорозуміння з оточенням;</w:t>
      </w:r>
    </w:p>
    <w:p w:rsidR="00086798" w:rsidRPr="00086798" w:rsidRDefault="00086798" w:rsidP="00086798">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прояви психологічного та емоційного насильства;</w:t>
      </w:r>
    </w:p>
    <w:p w:rsidR="00086798" w:rsidRPr="00086798" w:rsidRDefault="00086798" w:rsidP="00086798">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ігнорування приниження погрози недоброзичливе ставлення;</w:t>
      </w:r>
    </w:p>
    <w:p w:rsidR="00086798" w:rsidRPr="00086798" w:rsidRDefault="00086798" w:rsidP="00086798">
      <w:pPr>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дію несприятливих чинників, пов’язаних із навчанням.</w:t>
      </w:r>
    </w:p>
    <w:p w:rsidR="00086798" w:rsidRPr="00086798" w:rsidRDefault="00086798" w:rsidP="00086798">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b/>
          <w:bCs/>
          <w:sz w:val="28"/>
          <w:szCs w:val="28"/>
          <w:lang w:val="uk-UA" w:eastAsia="uk-UA"/>
        </w:rPr>
        <w:t>Ознаки безпечного освітнього середовища</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512"/>
      </w:tblGrid>
      <w:tr w:rsidR="00086798" w:rsidRPr="00086798" w:rsidTr="00F80653">
        <w:trPr>
          <w:jc w:val="center"/>
        </w:trPr>
        <w:tc>
          <w:tcPr>
            <w:tcW w:w="4418" w:type="dxa"/>
          </w:tcPr>
          <w:p w:rsidR="00086798" w:rsidRPr="00086798" w:rsidRDefault="00086798" w:rsidP="00F80653">
            <w:pPr>
              <w:jc w:val="center"/>
              <w:rPr>
                <w:rFonts w:eastAsia="Times New Roman"/>
                <w:b/>
                <w:sz w:val="28"/>
                <w:szCs w:val="28"/>
                <w:lang w:val="uk-UA" w:eastAsia="uk-UA"/>
              </w:rPr>
            </w:pPr>
            <w:r w:rsidRPr="00086798">
              <w:rPr>
                <w:rFonts w:eastAsia="Times New Roman"/>
                <w:b/>
                <w:sz w:val="28"/>
                <w:szCs w:val="28"/>
                <w:lang w:val="uk-UA" w:eastAsia="uk-UA"/>
              </w:rPr>
              <w:t>Позитивні чинники</w:t>
            </w:r>
          </w:p>
        </w:tc>
        <w:tc>
          <w:tcPr>
            <w:tcW w:w="4512" w:type="dxa"/>
          </w:tcPr>
          <w:p w:rsidR="00086798" w:rsidRPr="00086798" w:rsidRDefault="00086798" w:rsidP="00F80653">
            <w:pPr>
              <w:jc w:val="center"/>
              <w:rPr>
                <w:rFonts w:eastAsia="Times New Roman"/>
                <w:b/>
                <w:sz w:val="28"/>
                <w:szCs w:val="28"/>
                <w:lang w:val="uk-UA" w:eastAsia="uk-UA"/>
              </w:rPr>
            </w:pPr>
            <w:r w:rsidRPr="00086798">
              <w:rPr>
                <w:rFonts w:eastAsia="Times New Roman"/>
                <w:b/>
                <w:sz w:val="28"/>
                <w:szCs w:val="28"/>
                <w:lang w:val="uk-UA" w:eastAsia="uk-UA"/>
              </w:rPr>
              <w:t>Негативні чинники</w:t>
            </w:r>
          </w:p>
        </w:tc>
      </w:tr>
      <w:tr w:rsidR="00086798" w:rsidRPr="00086798" w:rsidTr="00F80653">
        <w:trPr>
          <w:jc w:val="center"/>
        </w:trPr>
        <w:tc>
          <w:tcPr>
            <w:tcW w:w="4418" w:type="dxa"/>
          </w:tcPr>
          <w:p w:rsidR="00086798" w:rsidRPr="00086798" w:rsidRDefault="00086798" w:rsidP="00F80653">
            <w:pPr>
              <w:jc w:val="center"/>
              <w:rPr>
                <w:rFonts w:eastAsia="Times New Roman"/>
                <w:b/>
                <w:sz w:val="28"/>
                <w:szCs w:val="28"/>
                <w:lang w:val="uk-UA" w:eastAsia="uk-UA"/>
              </w:rPr>
            </w:pPr>
            <w:r w:rsidRPr="00086798">
              <w:rPr>
                <w:rFonts w:eastAsia="Times New Roman"/>
                <w:sz w:val="28"/>
                <w:szCs w:val="28"/>
                <w:lang w:val="uk-UA" w:eastAsia="uk-UA"/>
              </w:rPr>
              <w:t>довіра</w:t>
            </w:r>
          </w:p>
        </w:tc>
        <w:tc>
          <w:tcPr>
            <w:tcW w:w="4512" w:type="dxa"/>
          </w:tcPr>
          <w:p w:rsidR="00086798" w:rsidRPr="00086798" w:rsidRDefault="00086798" w:rsidP="00F80653">
            <w:pPr>
              <w:jc w:val="center"/>
              <w:rPr>
                <w:rFonts w:eastAsia="Times New Roman"/>
                <w:b/>
                <w:sz w:val="28"/>
                <w:szCs w:val="28"/>
                <w:lang w:val="uk-UA" w:eastAsia="uk-UA"/>
              </w:rPr>
            </w:pPr>
            <w:r w:rsidRPr="00086798">
              <w:rPr>
                <w:rFonts w:eastAsia="Times New Roman"/>
                <w:sz w:val="28"/>
                <w:szCs w:val="28"/>
                <w:lang w:val="uk-UA" w:eastAsia="uk-UA"/>
              </w:rPr>
              <w:t>агресивність</w:t>
            </w:r>
          </w:p>
        </w:tc>
      </w:tr>
      <w:tr w:rsidR="00086798" w:rsidRPr="00086798" w:rsidTr="00F80653">
        <w:trPr>
          <w:jc w:val="center"/>
        </w:trPr>
        <w:tc>
          <w:tcPr>
            <w:tcW w:w="4418" w:type="dxa"/>
          </w:tcPr>
          <w:p w:rsidR="00086798" w:rsidRPr="00086798" w:rsidRDefault="00086798" w:rsidP="00F80653">
            <w:pPr>
              <w:jc w:val="center"/>
              <w:rPr>
                <w:rFonts w:eastAsia="Times New Roman"/>
                <w:b/>
                <w:sz w:val="28"/>
                <w:szCs w:val="28"/>
                <w:lang w:val="uk-UA" w:eastAsia="uk-UA"/>
              </w:rPr>
            </w:pPr>
            <w:r w:rsidRPr="00086798">
              <w:rPr>
                <w:rFonts w:eastAsia="Times New Roman"/>
                <w:sz w:val="28"/>
                <w:szCs w:val="28"/>
                <w:lang w:val="uk-UA" w:eastAsia="uk-UA"/>
              </w:rPr>
              <w:t>доброзичливість</w:t>
            </w:r>
          </w:p>
        </w:tc>
        <w:tc>
          <w:tcPr>
            <w:tcW w:w="4512" w:type="dxa"/>
          </w:tcPr>
          <w:p w:rsidR="00086798" w:rsidRPr="00086798" w:rsidRDefault="00086798" w:rsidP="00F80653">
            <w:pPr>
              <w:jc w:val="center"/>
              <w:rPr>
                <w:rFonts w:eastAsia="Times New Roman"/>
                <w:b/>
                <w:sz w:val="28"/>
                <w:szCs w:val="28"/>
                <w:lang w:val="uk-UA" w:eastAsia="uk-UA"/>
              </w:rPr>
            </w:pPr>
            <w:r w:rsidRPr="00086798">
              <w:rPr>
                <w:rFonts w:eastAsia="Times New Roman"/>
                <w:sz w:val="28"/>
                <w:szCs w:val="28"/>
                <w:lang w:val="uk-UA" w:eastAsia="uk-UA"/>
              </w:rPr>
              <w:t>конфліктність</w:t>
            </w:r>
          </w:p>
        </w:tc>
      </w:tr>
      <w:tr w:rsidR="00086798" w:rsidRPr="00086798" w:rsidTr="00F80653">
        <w:trPr>
          <w:jc w:val="center"/>
        </w:trPr>
        <w:tc>
          <w:tcPr>
            <w:tcW w:w="4418" w:type="dxa"/>
          </w:tcPr>
          <w:p w:rsidR="00086798" w:rsidRPr="00086798" w:rsidRDefault="00086798" w:rsidP="00F80653">
            <w:pPr>
              <w:jc w:val="center"/>
              <w:rPr>
                <w:rFonts w:eastAsia="Times New Roman"/>
                <w:b/>
                <w:sz w:val="28"/>
                <w:szCs w:val="28"/>
                <w:lang w:val="uk-UA" w:eastAsia="uk-UA"/>
              </w:rPr>
            </w:pPr>
            <w:r w:rsidRPr="00086798">
              <w:rPr>
                <w:rFonts w:eastAsia="Times New Roman"/>
                <w:sz w:val="28"/>
                <w:szCs w:val="28"/>
                <w:lang w:val="uk-UA" w:eastAsia="uk-UA"/>
              </w:rPr>
              <w:t>схвалення</w:t>
            </w:r>
          </w:p>
        </w:tc>
        <w:tc>
          <w:tcPr>
            <w:tcW w:w="4512" w:type="dxa"/>
          </w:tcPr>
          <w:p w:rsidR="00086798" w:rsidRPr="00086798" w:rsidRDefault="00086798" w:rsidP="00F80653">
            <w:pPr>
              <w:jc w:val="center"/>
              <w:rPr>
                <w:rFonts w:eastAsia="Times New Roman"/>
                <w:b/>
                <w:sz w:val="28"/>
                <w:szCs w:val="28"/>
                <w:lang w:val="uk-UA" w:eastAsia="uk-UA"/>
              </w:rPr>
            </w:pPr>
            <w:r w:rsidRPr="00086798">
              <w:rPr>
                <w:rFonts w:eastAsia="Times New Roman"/>
                <w:sz w:val="28"/>
                <w:szCs w:val="28"/>
                <w:lang w:val="uk-UA" w:eastAsia="uk-UA"/>
              </w:rPr>
              <w:t>ворожість</w:t>
            </w:r>
          </w:p>
        </w:tc>
      </w:tr>
      <w:tr w:rsidR="00086798" w:rsidRPr="00086798" w:rsidTr="00F80653">
        <w:trPr>
          <w:jc w:val="center"/>
        </w:trPr>
        <w:tc>
          <w:tcPr>
            <w:tcW w:w="4418" w:type="dxa"/>
          </w:tcPr>
          <w:p w:rsidR="00086798" w:rsidRPr="00086798" w:rsidRDefault="00086798" w:rsidP="00086798">
            <w:pPr>
              <w:rPr>
                <w:rFonts w:eastAsia="Times New Roman"/>
                <w:b/>
                <w:sz w:val="28"/>
                <w:szCs w:val="28"/>
                <w:lang w:val="uk-UA" w:eastAsia="uk-UA"/>
              </w:rPr>
            </w:pPr>
            <w:r>
              <w:rPr>
                <w:rFonts w:eastAsia="Times New Roman"/>
                <w:sz w:val="28"/>
                <w:szCs w:val="28"/>
                <w:lang w:val="uk-UA" w:eastAsia="uk-UA"/>
              </w:rPr>
              <w:t xml:space="preserve">              </w:t>
            </w:r>
            <w:r w:rsidRPr="00086798">
              <w:rPr>
                <w:rFonts w:eastAsia="Times New Roman"/>
                <w:sz w:val="28"/>
                <w:szCs w:val="28"/>
                <w:lang w:val="uk-UA" w:eastAsia="uk-UA"/>
              </w:rPr>
              <w:t>толерантність</w:t>
            </w:r>
          </w:p>
        </w:tc>
        <w:tc>
          <w:tcPr>
            <w:tcW w:w="4512" w:type="dxa"/>
          </w:tcPr>
          <w:p w:rsidR="00086798" w:rsidRPr="00086798" w:rsidRDefault="00086798" w:rsidP="00F80653">
            <w:pPr>
              <w:jc w:val="center"/>
              <w:rPr>
                <w:rFonts w:eastAsia="Times New Roman"/>
                <w:b/>
                <w:sz w:val="28"/>
                <w:szCs w:val="28"/>
                <w:lang w:val="uk-UA" w:eastAsia="uk-UA"/>
              </w:rPr>
            </w:pPr>
            <w:proofErr w:type="spellStart"/>
            <w:r w:rsidRPr="00086798">
              <w:rPr>
                <w:rFonts w:eastAsia="Times New Roman"/>
                <w:sz w:val="28"/>
                <w:szCs w:val="28"/>
                <w:lang w:val="uk-UA" w:eastAsia="uk-UA"/>
              </w:rPr>
              <w:t>маніпулятивність</w:t>
            </w:r>
            <w:proofErr w:type="spellEnd"/>
          </w:p>
        </w:tc>
      </w:tr>
    </w:tbl>
    <w:p w:rsidR="00086798" w:rsidRPr="00086798" w:rsidRDefault="00086798" w:rsidP="00086798">
      <w:pPr>
        <w:shd w:val="clear" w:color="auto" w:fill="FFFFFF"/>
        <w:spacing w:after="0" w:line="240" w:lineRule="auto"/>
        <w:jc w:val="center"/>
        <w:rPr>
          <w:rFonts w:ascii="Times New Roman" w:eastAsia="Times New Roman" w:hAnsi="Times New Roman" w:cs="Times New Roman"/>
          <w:b/>
          <w:sz w:val="28"/>
          <w:szCs w:val="28"/>
          <w:lang w:val="uk-UA" w:eastAsia="uk-UA"/>
        </w:rPr>
      </w:pPr>
    </w:p>
    <w:p w:rsidR="00086798" w:rsidRPr="00086798" w:rsidRDefault="00086798" w:rsidP="00086798">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 xml:space="preserve">Захищеність в освітньому середовищі </w:t>
      </w:r>
      <w:r w:rsidRPr="00086798">
        <w:rPr>
          <w:rFonts w:ascii="Times New Roman" w:eastAsia="Times New Roman" w:hAnsi="Times New Roman" w:cs="Times New Roman"/>
          <w:sz w:val="28"/>
          <w:szCs w:val="28"/>
          <w:shd w:val="clear" w:color="auto" w:fill="FFFFFF"/>
          <w:lang w:val="uk-UA" w:eastAsia="ru-RU"/>
        </w:rPr>
        <w:t>–</w:t>
      </w:r>
      <w:r w:rsidRPr="00086798">
        <w:rPr>
          <w:rFonts w:ascii="Times New Roman" w:eastAsia="Times New Roman" w:hAnsi="Times New Roman" w:cs="Times New Roman"/>
          <w:sz w:val="28"/>
          <w:szCs w:val="28"/>
          <w:lang w:val="uk-UA" w:eastAsia="uk-UA"/>
        </w:rPr>
        <w:t xml:space="preserve"> це оцінка відсутності насильства у всіх його видах, формах для всіх учасників освітнього простору. Часто жертвами насильства стають певні категорії дітей, зокрема ті, які:</w:t>
      </w:r>
    </w:p>
    <w:p w:rsidR="00086798" w:rsidRPr="00086798" w:rsidRDefault="00086798" w:rsidP="00086798">
      <w:pPr>
        <w:pStyle w:val="a3"/>
        <w:numPr>
          <w:ilvl w:val="0"/>
          <w:numId w:val="3"/>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 xml:space="preserve">мають фізичні недоліки, особливості зовнішності та (або) поведінки страждають від </w:t>
      </w:r>
      <w:proofErr w:type="spellStart"/>
      <w:r w:rsidRPr="00086798">
        <w:rPr>
          <w:rFonts w:ascii="Times New Roman" w:hAnsi="Times New Roman"/>
          <w:sz w:val="28"/>
          <w:szCs w:val="28"/>
          <w:lang w:val="uk-UA" w:eastAsia="uk-UA"/>
        </w:rPr>
        <w:t>хвороб</w:t>
      </w:r>
      <w:proofErr w:type="spellEnd"/>
      <w:r w:rsidRPr="00086798">
        <w:rPr>
          <w:rFonts w:ascii="Times New Roman" w:hAnsi="Times New Roman"/>
          <w:sz w:val="28"/>
          <w:szCs w:val="28"/>
          <w:lang w:val="uk-UA" w:eastAsia="uk-UA"/>
        </w:rPr>
        <w:t>;</w:t>
      </w:r>
    </w:p>
    <w:p w:rsidR="00086798" w:rsidRPr="00086798" w:rsidRDefault="00086798" w:rsidP="00086798">
      <w:pPr>
        <w:pStyle w:val="a3"/>
        <w:numPr>
          <w:ilvl w:val="0"/>
          <w:numId w:val="3"/>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lastRenderedPageBreak/>
        <w:t>мають низький рівень інтелекту та труднощі у навчанні;</w:t>
      </w:r>
    </w:p>
    <w:p w:rsidR="00086798" w:rsidRPr="00086798" w:rsidRDefault="00086798" w:rsidP="00086798">
      <w:pPr>
        <w:pStyle w:val="a3"/>
        <w:numPr>
          <w:ilvl w:val="0"/>
          <w:numId w:val="3"/>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відчувають страх перед школою;</w:t>
      </w:r>
    </w:p>
    <w:p w:rsidR="00086798" w:rsidRPr="00086798" w:rsidRDefault="00086798" w:rsidP="00086798">
      <w:pPr>
        <w:pStyle w:val="a3"/>
        <w:numPr>
          <w:ilvl w:val="0"/>
          <w:numId w:val="4"/>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мають погані соціальні навички або не мають досвіду життя в колективі (</w:t>
      </w:r>
      <w:proofErr w:type="spellStart"/>
      <w:r w:rsidRPr="00086798">
        <w:rPr>
          <w:rFonts w:ascii="Times New Roman" w:hAnsi="Times New Roman"/>
          <w:sz w:val="28"/>
          <w:szCs w:val="28"/>
          <w:lang w:val="uk-UA" w:eastAsia="uk-UA"/>
        </w:rPr>
        <w:t>гіперопіка</w:t>
      </w:r>
      <w:proofErr w:type="spellEnd"/>
      <w:r w:rsidRPr="00086798">
        <w:rPr>
          <w:rFonts w:ascii="Times New Roman" w:hAnsi="Times New Roman"/>
          <w:sz w:val="28"/>
          <w:szCs w:val="28"/>
          <w:lang w:val="uk-UA" w:eastAsia="uk-UA"/>
        </w:rPr>
        <w:t xml:space="preserve"> з боку батьків «домашні діти»).</w:t>
      </w:r>
    </w:p>
    <w:p w:rsidR="00086798" w:rsidRDefault="00086798" w:rsidP="00086798">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Щоб унеможливити насильство та створити безпечне освітнє середовище, кожен учасник освітнього процесу повинен мати уявлення не тільки про те, що вважають насильством, але знати як мінімізувати ризики та небезпеки і створити умови для внутрішньої безпеки та безпеки референтного довкілля. Це можливо лише завдяки спільній цілеспрямованій діяльності педагогів, учнів і батьків.</w:t>
      </w:r>
    </w:p>
    <w:p w:rsidR="00086798" w:rsidRPr="00086798" w:rsidRDefault="00086798" w:rsidP="00086798">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b/>
          <w:bCs/>
          <w:sz w:val="28"/>
          <w:szCs w:val="28"/>
          <w:lang w:val="uk-UA" w:eastAsia="uk-UA"/>
        </w:rPr>
        <w:t>Запобігання та протидія насильству</w:t>
      </w:r>
    </w:p>
    <w:p w:rsidR="00086798" w:rsidRPr="00086798" w:rsidRDefault="00086798" w:rsidP="00086798">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 xml:space="preserve">Комфортність в освітньому середовищі – оцінка емоцій, почуттів та переживань, що домінують у процесі взаємодії дорослих і дітей в освітньому середовищі закладу. Нерозвиненість системи психологічної допомоги в освітній установі може призвести до неефективного психологічного супроводу дитини, а у педагогів </w:t>
      </w:r>
      <w:r w:rsidRPr="00086798">
        <w:rPr>
          <w:rFonts w:ascii="Times New Roman" w:eastAsia="Times New Roman" w:hAnsi="Times New Roman" w:cs="Times New Roman"/>
          <w:sz w:val="28"/>
          <w:szCs w:val="28"/>
          <w:shd w:val="clear" w:color="auto" w:fill="FFFFFF"/>
          <w:lang w:val="uk-UA" w:eastAsia="ru-RU"/>
        </w:rPr>
        <w:t>–</w:t>
      </w:r>
      <w:r w:rsidRPr="00086798">
        <w:rPr>
          <w:rFonts w:ascii="Times New Roman" w:eastAsia="Times New Roman" w:hAnsi="Times New Roman" w:cs="Times New Roman"/>
          <w:sz w:val="28"/>
          <w:szCs w:val="28"/>
          <w:lang w:val="uk-UA" w:eastAsia="uk-UA"/>
        </w:rPr>
        <w:t xml:space="preserve"> емоційного вигорання, і, як наслідок, спричинити професійну деформацію, що і в першому і в другому випадку є серйозною загрозою психічному здоров’ю особистості.</w:t>
      </w:r>
    </w:p>
    <w:p w:rsidR="00086798" w:rsidRPr="00086798" w:rsidRDefault="00086798" w:rsidP="00086798">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 xml:space="preserve">Задоволеність освітнім середовищем </w:t>
      </w:r>
      <w:r w:rsidRPr="00086798">
        <w:rPr>
          <w:rFonts w:ascii="Times New Roman" w:eastAsia="Times New Roman" w:hAnsi="Times New Roman" w:cs="Times New Roman"/>
          <w:sz w:val="28"/>
          <w:szCs w:val="28"/>
          <w:shd w:val="clear" w:color="auto" w:fill="FFFFFF"/>
          <w:lang w:val="uk-UA" w:eastAsia="ru-RU"/>
        </w:rPr>
        <w:t>–</w:t>
      </w:r>
      <w:r w:rsidRPr="00086798">
        <w:rPr>
          <w:rFonts w:ascii="Times New Roman" w:eastAsia="Times New Roman" w:hAnsi="Times New Roman" w:cs="Times New Roman"/>
          <w:sz w:val="28"/>
          <w:szCs w:val="28"/>
          <w:lang w:val="uk-UA" w:eastAsia="uk-UA"/>
        </w:rPr>
        <w:t xml:space="preserve"> задоволення базових потреб дитини у допомозі та підтримці збереженні та підвищенні її самооцінки пізнанні та діяльності розвитку здібностей і можливостей.</w:t>
      </w:r>
    </w:p>
    <w:p w:rsidR="00086798" w:rsidRPr="00086798" w:rsidRDefault="00086798" w:rsidP="00086798">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 xml:space="preserve">Основна характеристика процесу взаємодії учасників освітнього середовища </w:t>
      </w:r>
      <w:r w:rsidRPr="00086798">
        <w:rPr>
          <w:rFonts w:ascii="Times New Roman" w:eastAsia="Times New Roman" w:hAnsi="Times New Roman" w:cs="Times New Roman"/>
          <w:sz w:val="28"/>
          <w:szCs w:val="28"/>
          <w:shd w:val="clear" w:color="auto" w:fill="FFFFFF"/>
          <w:lang w:val="uk-UA" w:eastAsia="ru-RU"/>
        </w:rPr>
        <w:t>–</w:t>
      </w:r>
      <w:r w:rsidRPr="00086798">
        <w:rPr>
          <w:rFonts w:ascii="Times New Roman" w:eastAsia="Times New Roman" w:hAnsi="Times New Roman" w:cs="Times New Roman"/>
          <w:sz w:val="28"/>
          <w:szCs w:val="28"/>
          <w:lang w:val="uk-UA" w:eastAsia="uk-UA"/>
        </w:rPr>
        <w:t xml:space="preserve"> це особистісно-довірливе спілкування, відсутність якого спричиняє досить негативні наслідки, як-от:</w:t>
      </w:r>
    </w:p>
    <w:p w:rsidR="00086798" w:rsidRPr="00086798" w:rsidRDefault="00086798" w:rsidP="00086798">
      <w:pPr>
        <w:pStyle w:val="a3"/>
        <w:numPr>
          <w:ilvl w:val="0"/>
          <w:numId w:val="4"/>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емоційний дискомфорт;</w:t>
      </w:r>
    </w:p>
    <w:p w:rsidR="00086798" w:rsidRPr="00086798" w:rsidRDefault="00086798" w:rsidP="00086798">
      <w:pPr>
        <w:pStyle w:val="a3"/>
        <w:numPr>
          <w:ilvl w:val="0"/>
          <w:numId w:val="4"/>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небажання висловлювати свою точку зору, думку;</w:t>
      </w:r>
    </w:p>
    <w:p w:rsidR="00086798" w:rsidRPr="00086798" w:rsidRDefault="00086798" w:rsidP="00086798">
      <w:pPr>
        <w:pStyle w:val="a3"/>
        <w:numPr>
          <w:ilvl w:val="0"/>
          <w:numId w:val="4"/>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негативне ставлення до себе;</w:t>
      </w:r>
    </w:p>
    <w:p w:rsidR="00086798" w:rsidRPr="00086798" w:rsidRDefault="00086798" w:rsidP="00086798">
      <w:pPr>
        <w:pStyle w:val="a3"/>
        <w:numPr>
          <w:ilvl w:val="0"/>
          <w:numId w:val="4"/>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втрата особистої гідності;</w:t>
      </w:r>
    </w:p>
    <w:p w:rsidR="00086798" w:rsidRPr="00086798" w:rsidRDefault="00086798" w:rsidP="00086798">
      <w:pPr>
        <w:pStyle w:val="a3"/>
        <w:numPr>
          <w:ilvl w:val="0"/>
          <w:numId w:val="4"/>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небажання звертатися по допомогу;</w:t>
      </w:r>
    </w:p>
    <w:p w:rsidR="00086798" w:rsidRPr="00086798" w:rsidRDefault="00086798" w:rsidP="00086798">
      <w:pPr>
        <w:pStyle w:val="a3"/>
        <w:numPr>
          <w:ilvl w:val="0"/>
          <w:numId w:val="4"/>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ігнорування особистих проблем і труднощів інших дітей та дорослих;</w:t>
      </w:r>
    </w:p>
    <w:p w:rsidR="00086798" w:rsidRPr="00086798" w:rsidRDefault="00086798" w:rsidP="00086798">
      <w:pPr>
        <w:pStyle w:val="a3"/>
        <w:numPr>
          <w:ilvl w:val="0"/>
          <w:numId w:val="4"/>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неуважність до прохань і пропозицій.</w:t>
      </w:r>
    </w:p>
    <w:p w:rsidR="00086798" w:rsidRPr="00086798" w:rsidRDefault="00086798" w:rsidP="00086798">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086798">
        <w:rPr>
          <w:rFonts w:ascii="Times New Roman" w:eastAsia="Times New Roman" w:hAnsi="Times New Roman" w:cs="Times New Roman"/>
          <w:sz w:val="28"/>
          <w:szCs w:val="28"/>
          <w:lang w:val="uk-UA" w:eastAsia="uk-UA"/>
        </w:rPr>
        <w:t xml:space="preserve">Робота над створенням освітнього середовища не припиняється з досягненням певного результату </w:t>
      </w:r>
      <w:r w:rsidRPr="00086798">
        <w:rPr>
          <w:rFonts w:ascii="Times New Roman" w:eastAsia="Times New Roman" w:hAnsi="Times New Roman" w:cs="Times New Roman"/>
          <w:sz w:val="28"/>
          <w:szCs w:val="28"/>
          <w:lang w:val="uk-UA" w:eastAsia="ru-RU"/>
        </w:rPr>
        <w:t>–</w:t>
      </w:r>
      <w:r w:rsidRPr="00086798">
        <w:rPr>
          <w:rFonts w:ascii="Times New Roman" w:eastAsia="Times New Roman" w:hAnsi="Times New Roman" w:cs="Times New Roman"/>
          <w:sz w:val="28"/>
          <w:szCs w:val="28"/>
          <w:lang w:val="uk-UA" w:eastAsia="uk-UA"/>
        </w:rPr>
        <w:t xml:space="preserve"> це безперервний процес:</w:t>
      </w:r>
    </w:p>
    <w:p w:rsidR="00086798" w:rsidRPr="00086798" w:rsidRDefault="00086798" w:rsidP="00086798">
      <w:pPr>
        <w:pStyle w:val="a3"/>
        <w:numPr>
          <w:ilvl w:val="0"/>
          <w:numId w:val="5"/>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реагування на нові виклики життя;</w:t>
      </w:r>
    </w:p>
    <w:p w:rsidR="00086798" w:rsidRPr="00086798" w:rsidRDefault="00086798" w:rsidP="00086798">
      <w:pPr>
        <w:pStyle w:val="a3"/>
        <w:numPr>
          <w:ilvl w:val="0"/>
          <w:numId w:val="5"/>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пошуку нових можливостей, ресурсів;</w:t>
      </w:r>
    </w:p>
    <w:p w:rsidR="00086798" w:rsidRPr="00086798" w:rsidRDefault="00086798" w:rsidP="00086798">
      <w:pPr>
        <w:pStyle w:val="a3"/>
        <w:numPr>
          <w:ilvl w:val="0"/>
          <w:numId w:val="5"/>
        </w:numPr>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086798">
        <w:rPr>
          <w:rFonts w:ascii="Times New Roman" w:hAnsi="Times New Roman"/>
          <w:sz w:val="28"/>
          <w:szCs w:val="28"/>
          <w:lang w:val="uk-UA" w:eastAsia="uk-UA"/>
        </w:rPr>
        <w:t>генерування ідей та правил.</w:t>
      </w:r>
    </w:p>
    <w:p w:rsidR="00086798" w:rsidRPr="00086798" w:rsidRDefault="00086798" w:rsidP="00086798">
      <w:pPr>
        <w:rPr>
          <w:rFonts w:ascii="Times New Roman" w:eastAsia="Times New Roman" w:hAnsi="Times New Roman" w:cs="Times New Roman"/>
          <w:sz w:val="28"/>
          <w:szCs w:val="28"/>
          <w:lang w:val="uk-UA" w:eastAsia="uk-UA"/>
        </w:rPr>
      </w:pPr>
    </w:p>
    <w:sectPr w:rsidR="00086798" w:rsidRPr="0008679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B6353"/>
    <w:multiLevelType w:val="hybridMultilevel"/>
    <w:tmpl w:val="A1ACD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C7BFC"/>
    <w:multiLevelType w:val="hybridMultilevel"/>
    <w:tmpl w:val="AD7C1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2918C4"/>
    <w:multiLevelType w:val="hybridMultilevel"/>
    <w:tmpl w:val="56AEC134"/>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543D7F03"/>
    <w:multiLevelType w:val="hybridMultilevel"/>
    <w:tmpl w:val="47EA3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61297"/>
    <w:multiLevelType w:val="hybridMultilevel"/>
    <w:tmpl w:val="439E4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25"/>
    <w:rsid w:val="00086798"/>
    <w:rsid w:val="00340303"/>
    <w:rsid w:val="00BA09C0"/>
    <w:rsid w:val="00C0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D03A"/>
  <w15:chartTrackingRefBased/>
  <w15:docId w15:val="{C1435F92-9516-47F6-AFA3-EE8629BB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798"/>
    <w:pPr>
      <w:spacing w:after="200" w:line="276" w:lineRule="auto"/>
      <w:ind w:left="720"/>
      <w:contextualSpacing/>
    </w:pPr>
    <w:rPr>
      <w:rFonts w:ascii="Calibri" w:eastAsia="Times New Roman" w:hAnsi="Calibri" w:cs="Times New Roman"/>
      <w:lang w:val="ru-RU" w:eastAsia="ru-RU"/>
    </w:rPr>
  </w:style>
  <w:style w:type="table" w:styleId="a4">
    <w:name w:val="Table Grid"/>
    <w:basedOn w:val="a1"/>
    <w:qFormat/>
    <w:rsid w:val="0008679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2022-05-18T14:42:00Z</dcterms:created>
  <dcterms:modified xsi:type="dcterms:W3CDTF">2022-05-18T14:50:00Z</dcterms:modified>
</cp:coreProperties>
</file>