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color w:val="000000"/>
          <w:sz w:val="24"/>
          <w:szCs w:val="24"/>
        </w:rPr>
      </w:pPr>
      <w:r>
        <w:rPr>
          <w:rFonts w:eastAsia="Calibri"/>
          <w:b/>
          <w:bCs/>
          <w:iCs/>
          <w:color w:val="000000"/>
          <w:sz w:val="24"/>
          <w:szCs w:val="24"/>
          <w:lang w:val="uk-UA" w:eastAsia="uk-UA"/>
        </w:rPr>
        <w:t xml:space="preserve">Обґрунтування закупівлі: </w:t>
      </w:r>
      <w:r>
        <w:rPr>
          <w:rFonts w:eastAsia="Calibri"/>
          <w:b/>
          <w:bCs/>
          <w:i/>
          <w:iCs/>
          <w:color w:val="000000"/>
          <w:sz w:val="26"/>
          <w:szCs w:val="22"/>
          <w:lang w:val="uk-UA" w:eastAsia="uk-UA"/>
        </w:rPr>
        <w:t>Поточний ремонт підвального приміщення, що використовується в якості споруди цивільного захисту (укриття) комунального закладу загальної середньої освіти "Луцький ліцей №4 імені Модеста Левицького Луцької міської ради" на пр-ті Волі, 25 у м. Луцьку.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b/>
          <w:bCs/>
          <w:i/>
          <w:iCs/>
          <w:color w:val="000000"/>
          <w:sz w:val="26"/>
          <w:szCs w:val="22"/>
          <w:shd w:fill="FFFFFF" w:val="clear"/>
          <w:lang w:val="uk-UA" w:eastAsia="uk-UA"/>
        </w:rPr>
        <w:t>ДК 021:2015: 45450000-6— Інші завершальні будівельні роботи.</w:t>
      </w:r>
    </w:p>
    <w:p>
      <w:pPr>
        <w:pStyle w:val="Normal"/>
        <w:jc w:val="center"/>
        <w:rPr>
          <w:b/>
          <w:i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8080" w:leader="none"/>
        </w:tabs>
        <w:spacing w:lineRule="auto" w:line="228"/>
        <w:ind w:right="140"/>
        <w:jc w:val="center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sz w:val="24"/>
          <w:szCs w:val="24"/>
          <w:lang w:val="uk-UA" w:eastAsia="uk-UA"/>
        </w:rPr>
        <w:t xml:space="preserve">Код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uk-UA" w:eastAsia="uk-UA"/>
        </w:rPr>
        <w:t>ДК 021:2015: 45450000-6— Інші завершальні будівельні роботи.</w:t>
      </w:r>
    </w:p>
    <w:p>
      <w:pPr>
        <w:pStyle w:val="Normal"/>
        <w:jc w:val="center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</w:r>
    </w:p>
    <w:p>
      <w:pPr>
        <w:pStyle w:val="Normal"/>
        <w:jc w:val="center"/>
        <w:rPr>
          <w:sz w:val="24"/>
          <w:szCs w:val="24"/>
          <w:lang w:val="uk-UA" w:eastAsia="uk-UA"/>
        </w:rPr>
      </w:pPr>
      <w:bookmarkStart w:id="0" w:name="_GoBack"/>
      <w:bookmarkEnd w:id="0"/>
      <w:r>
        <w:rPr>
          <w:sz w:val="24"/>
          <w:szCs w:val="24"/>
          <w:lang w:val="uk-UA" w:eastAsia="uk-UA"/>
        </w:rPr>
        <w:t>Закупівля:</w:t>
      </w:r>
      <w:r>
        <w:rPr>
          <w:b/>
          <w:bCs/>
          <w:color w:val="555555"/>
          <w:sz w:val="24"/>
          <w:szCs w:val="24"/>
        </w:rPr>
        <w:t xml:space="preserve"> </w:t>
      </w:r>
      <w:bookmarkStart w:id="1" w:name="selectable"/>
      <w:bookmarkEnd w:id="1"/>
      <w:r>
        <w:rPr>
          <w:b/>
          <w:bCs/>
          <w:color w:val="000000"/>
          <w:sz w:val="24"/>
          <w:szCs w:val="24"/>
          <w:shd w:fill="FFFF00" w:val="clear"/>
          <w:lang w:val="uk-UA" w:eastAsia="uk-UA"/>
        </w:rPr>
        <w:t xml:space="preserve">UA-2024-07-05-008994-a </w:t>
      </w:r>
    </w:p>
    <w:p>
      <w:pPr>
        <w:pStyle w:val="Normal"/>
        <w:jc w:val="center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</w:r>
    </w:p>
    <w:tbl>
      <w:tblPr>
        <w:tblStyle w:val="a3"/>
        <w:tblW w:w="10207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70"/>
        <w:gridCol w:w="3294"/>
        <w:gridCol w:w="3443"/>
      </w:tblGrid>
      <w:tr>
        <w:trPr>
          <w:trHeight w:val="1599" w:hRule="atLeast"/>
        </w:trPr>
        <w:tc>
          <w:tcPr>
            <w:tcW w:w="347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>Найменування предмета закупівлі із зазначенням коду</w:t>
            </w:r>
          </w:p>
        </w:tc>
        <w:tc>
          <w:tcPr>
            <w:tcW w:w="32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>Обґрунтування очікуваної вартості предмета закупівлі, розміру бюджетного призначення</w:t>
            </w:r>
          </w:p>
        </w:tc>
      </w:tr>
      <w:tr>
        <w:trPr>
          <w:trHeight w:val="400" w:hRule="atLeast"/>
        </w:trPr>
        <w:tc>
          <w:tcPr>
            <w:tcW w:w="3470" w:type="dxa"/>
            <w:tcBorders/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val="uk-UA" w:eastAsia="uk-UA"/>
              </w:rPr>
              <w:t>Поточний ремонт підвального приміщення, що використовується в якості споруди цивільного захисту (укриття)  комунального закладу загальної середньої освіти "Луцький ліцей №4 імені Модеста Левицького Луцької міської ради" на пр-ті Волі, 25 у м. Луцьку.</w:t>
            </w:r>
          </w:p>
          <w:p>
            <w:pPr>
              <w:pStyle w:val="Normal"/>
              <w:jc w:val="left"/>
              <w:rPr>
                <w:rFonts w:eastAsia="Calibri"/>
                <w:b/>
                <w:bCs/>
                <w:i/>
                <w:i/>
                <w:iCs/>
                <w:color w:val="000000"/>
                <w:lang w:val="uk-UA" w:eastAsia="uk-UA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lang w:val="uk-UA" w:eastAsia="uk-UA"/>
              </w:rPr>
            </w:r>
          </w:p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shd w:fill="FFFFFF" w:val="clear"/>
                <w:lang w:val="uk-UA" w:eastAsia="uk-UA"/>
              </w:rPr>
              <w:t>ДК 021:2015: 45450000-6— Інші завершальні будівельні роботи.</w:t>
            </w:r>
          </w:p>
          <w:p>
            <w:pPr>
              <w:pStyle w:val="Normal"/>
              <w:suppressAutoHyphens w:val="true"/>
              <w:spacing w:lineRule="auto" w:line="259" w:before="0" w:after="160"/>
              <w:rPr>
                <w:rFonts w:eastAsia="Calibri"/>
                <w:color w:val="000000"/>
                <w:sz w:val="24"/>
                <w:szCs w:val="24"/>
                <w:highlight w:val="none"/>
                <w:shd w:fill="FFFF00" w:val="clear"/>
                <w:lang w:val="uk-UA" w:eastAsia="uk-UA" w:bidi="hi-I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00" w:val="clear"/>
                <w:lang w:val="uk-UA" w:eastAsia="uk-UA" w:bidi="hi-IN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kern w:val="0"/>
                <w:highlight w:val="none"/>
                <w:shd w:fill="FFFF00" w:val="clear"/>
                <w:lang w:val="uk-UA" w:bidi="ar-SA"/>
              </w:rPr>
            </w:pPr>
            <w:r>
              <w:rPr>
                <w:kern w:val="0"/>
                <w:shd w:fill="FFFF00" w:val="clear"/>
                <w:lang w:val="uk-UA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</w:r>
          </w:p>
        </w:tc>
        <w:tc>
          <w:tcPr>
            <w:tcW w:w="329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eastAsia="uk-UA"/>
              </w:rPr>
            </w:pPr>
            <w:r>
              <w:rPr>
                <w:b/>
                <w:kern w:val="0"/>
                <w:sz w:val="24"/>
                <w:szCs w:val="24"/>
                <w:lang w:val="uk-UA" w:eastAsia="uk-UA" w:bidi="ar-SA"/>
              </w:rPr>
              <w:t>ТЕХНІЧНЕ ЗАВДАННЯ</w:t>
            </w:r>
          </w:p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val="uk-UA" w:eastAsia="uk-UA"/>
              </w:rPr>
              <w:t>Поточний ремонт підвального приміщення, що використовується в якості споруди цивільного захисту (укриття)  комунального закладу загальної середньої освіти "Луцький ліцей №4 імені Модеста Левицького Луцької міської ради" на пр-ті Волі, 25 у м. Луцьку.</w:t>
            </w:r>
          </w:p>
          <w:p>
            <w:pPr>
              <w:pStyle w:val="Normal"/>
              <w:jc w:val="left"/>
              <w:rPr>
                <w:rFonts w:eastAsia="Calibri"/>
                <w:b/>
                <w:bCs/>
                <w:i/>
                <w:i/>
                <w:iCs/>
                <w:color w:val="000000"/>
                <w:lang w:val="uk-UA" w:eastAsia="uk-UA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lang w:val="uk-UA" w:eastAsia="uk-UA"/>
              </w:rPr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shd w:fill="FFFFFF" w:val="clear"/>
                <w:lang w:val="uk-UA" w:eastAsia="uk-UA"/>
              </w:rPr>
              <w:t>ДК 021:2015: 45450000-6— Інші завершальні будівельні роботи.</w:t>
            </w:r>
          </w:p>
          <w:p>
            <w:pPr>
              <w:pStyle w:val="Normal"/>
              <w:jc w:val="left"/>
              <w:rPr>
                <w:rFonts w:eastAsia="Calibri"/>
                <w:b/>
                <w:bCs/>
                <w:i/>
                <w:i/>
                <w:iCs/>
                <w:color w:val="000000"/>
                <w:highlight w:val="none"/>
                <w:shd w:fill="FFFFFF" w:val="clear"/>
                <w:lang w:val="uk-UA" w:eastAsia="uk-UA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hd w:fill="FFFFFF" w:val="clear"/>
                <w:lang w:val="uk-UA" w:eastAsia="uk-U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>В ціну тендерної пропозиції включити вартість всіх матеріалів, конструкцій, виробів, устаткування та обладнання, які необхідні для виконання наступних робіт.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</w:r>
          </w:p>
        </w:tc>
        <w:tc>
          <w:tcPr>
            <w:tcW w:w="34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 xml:space="preserve">Визначення очікуваної вартості предмета закупівлі обумовлено статистичним аналізом загальнодоступної інформації (загальнодоступної інформації в мережі Інтернет, а також в електронній системі закупівель </w:t>
            </w:r>
            <w:r>
              <w:rPr>
                <w:kern w:val="0"/>
                <w:sz w:val="24"/>
                <w:szCs w:val="24"/>
                <w:lang w:val="en-US" w:eastAsia="uk-UA" w:bidi="ar-SA"/>
              </w:rPr>
              <w:t>Prozorro</w:t>
            </w:r>
            <w:r>
              <w:rPr>
                <w:kern w:val="0"/>
                <w:sz w:val="24"/>
                <w:szCs w:val="24"/>
                <w:lang w:val="uk-UA" w:eastAsia="uk-UA" w:bidi="ar-SA"/>
              </w:rPr>
              <w:t>, аналізу закупівельних цін попередніх років).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kern w:val="0"/>
                <w:sz w:val="24"/>
                <w:szCs w:val="24"/>
                <w:lang w:val="uk-UA" w:eastAsia="uk-UA" w:bidi="ar-SA"/>
              </w:rPr>
              <w:t xml:space="preserve">Розмір бюджетного призначення складає                   </w:t>
            </w:r>
            <w:r>
              <w:rPr>
                <w:kern w:val="0"/>
                <w:sz w:val="24"/>
                <w:szCs w:val="24"/>
                <w:lang w:val="uk-UA" w:eastAsia="uk-UA" w:bidi="ar-SA"/>
              </w:rPr>
              <w:t>834</w:t>
            </w:r>
            <w:r>
              <w:rPr>
                <w:kern w:val="0"/>
                <w:sz w:val="24"/>
                <w:szCs w:val="24"/>
                <w:lang w:val="uk-UA" w:bidi="ar-SA"/>
              </w:rPr>
              <w:t> </w:t>
            </w:r>
            <w:r>
              <w:rPr>
                <w:kern w:val="0"/>
                <w:sz w:val="24"/>
                <w:szCs w:val="24"/>
                <w:lang w:val="uk-UA" w:bidi="ar-SA"/>
              </w:rPr>
              <w:t>138</w:t>
            </w:r>
            <w:r>
              <w:rPr>
                <w:kern w:val="0"/>
                <w:sz w:val="24"/>
                <w:szCs w:val="24"/>
                <w:lang w:val="uk-UA" w:bidi="ar-SA"/>
              </w:rPr>
              <w:t xml:space="preserve">,00 </w:t>
            </w:r>
            <w:r>
              <w:rPr>
                <w:kern w:val="0"/>
                <w:sz w:val="24"/>
                <w:szCs w:val="24"/>
                <w:lang w:val="uk-UA" w:eastAsia="uk-UA" w:bidi="ar-SA"/>
              </w:rPr>
              <w:t>грн. у межах затверджених орієнтовних обсягів фінансування на 2024 рік.</w:t>
            </w:r>
          </w:p>
        </w:tc>
      </w:tr>
    </w:tbl>
    <w:p>
      <w:pPr>
        <w:pStyle w:val="Normal"/>
        <w:jc w:val="center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</w:r>
    </w:p>
    <w:p>
      <w:pPr>
        <w:pStyle w:val="Normal"/>
        <w:suppressAutoHyphens w:val="true"/>
        <w:spacing w:lineRule="auto" w:line="259" w:before="0" w:after="160"/>
        <w:rPr>
          <w:i/>
          <w:i/>
          <w:sz w:val="26"/>
          <w:szCs w:val="22"/>
          <w:lang w:val="uk-UA" w:eastAsia="uk-UA"/>
        </w:rPr>
      </w:pPr>
      <w:r>
        <w:rPr>
          <w:i/>
          <w:sz w:val="26"/>
          <w:szCs w:val="22"/>
          <w:lang w:val="uk-UA" w:eastAsia="uk-UA"/>
        </w:rPr>
        <w:t>Об’єми робіт</w:t>
      </w:r>
    </w:p>
    <w:tbl>
      <w:tblPr>
        <w:tblW w:w="9132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176"/>
        <w:gridCol w:w="84"/>
        <w:gridCol w:w="5532"/>
        <w:gridCol w:w="1140"/>
        <w:gridCol w:w="1200"/>
      </w:tblGrid>
      <w:tr>
        <w:trPr>
          <w:trHeight w:val="230" w:hRule="atLeast"/>
        </w:trPr>
        <w:tc>
          <w:tcPr>
            <w:tcW w:w="1176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№</w:t>
            </w:r>
          </w:p>
          <w:p>
            <w:pPr>
              <w:pStyle w:val="Normal"/>
              <w:keepLines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Ч.ч.</w:t>
            </w:r>
          </w:p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Найменування робіт і витрат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Одиниця</w:t>
            </w:r>
          </w:p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виміру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Кіль-</w:t>
            </w:r>
          </w:p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кість</w:t>
            </w:r>
          </w:p>
        </w:tc>
      </w:tr>
      <w:tr>
        <w:trPr>
          <w:trHeight w:val="184" w:hRule="atLeast"/>
        </w:trPr>
        <w:tc>
          <w:tcPr>
            <w:tcW w:w="1176" w:type="dxa"/>
            <w:tcBorders>
              <w:left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55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</w:tr>
      <w:tr>
        <w:trPr>
          <w:trHeight w:val="184" w:hRule="atLeast"/>
        </w:trPr>
        <w:tc>
          <w:tcPr>
            <w:tcW w:w="1176" w:type="dxa"/>
            <w:tcBorders>
              <w:left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55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</w:tr>
      <w:tr>
        <w:trPr>
          <w:trHeight w:val="184" w:hRule="atLeast"/>
        </w:trPr>
        <w:tc>
          <w:tcPr>
            <w:tcW w:w="117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553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bCs/>
                <w:spacing w:val="-5"/>
                <w:sz w:val="20"/>
                <w:szCs w:val="20"/>
                <w:lang w:eastAsia="en-US"/>
              </w:rPr>
              <w:t>Роздiл 1. Санвузол на 2 кабінки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sz w:val="16"/>
                <w:szCs w:val="16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Планування площ ручним способом, група</w:t>
            </w:r>
            <w:r>
              <w:rPr>
                <w:rFonts w:cs="Arial" w:ascii="Arial" w:hAnsi="Arial"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ґрунту 1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1000 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pacing w:val="-5"/>
                <w:sz w:val="20"/>
                <w:szCs w:val="20"/>
                <w:lang w:eastAsia="en-US"/>
              </w:rPr>
              <w:t>0,0078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підстильного шару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щебеневого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0,39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Збирання та розбирання опалубки стяжки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стяжок бетонних товщиною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Армування стяжки дротяною сіткою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Додавати або виключати на кожні 5 мм</w:t>
            </w:r>
          </w:p>
          <w:p>
            <w:pPr>
              <w:pStyle w:val="Normal"/>
              <w:keepLines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зміни товщини бетонних стяжок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покриттів з керамічних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плиток на розчині із сухої клеючої суміші,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кількість плиток в 1 м2 понад 7 до 12 шт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перегородок з газобетонних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блоків товщиною 100 мм при висоті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поверху до 4 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0,185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обшивки стін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гіпсокартонними плитами [фальшстіни]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 металевому каркасу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0,228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штукатурення поверхонь стін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всередені будівлі цементно-вапняним або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цементним розчином по каменю та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бетону (затягування клейом)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Клей для блоків Ферозіт "140" для Газо та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Піноблоків, 25 кг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Облицювання  поверхонь стін керамічними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плитками  на розчині із сухої клеючої суміші,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число плиток в 1 м2 до 7 шт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0,508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Суцільне вирівнювання бетонних поверхонь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стель [одношарове штукатурення], товщина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шару 5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фарбування полівінілацетатними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водоемульсійними сумішами стель по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штукатурці та збірних конструкціях,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підготовлених під фарбування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Заповнення дверних прорізів готовими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дверними блоками площею до 2 м2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металопластику  у кам'яних стінах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0,046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Двері внутрішні металопластикові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4,6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Пробивання отворів в бутових фундаментах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вентиляторiв в санвузлах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Вентилятор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вентрешітки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виріб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Решітка вентиляційна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кабеля при схованiй проводцi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Двожильний кабель напругою до 660в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перерiзом 2.1,5мм2 ВВГнгд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вимикачів неутопленого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штепсельних розеток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неутопленого 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насосів відцентрових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електродвигуном масою понад 0,1 до 0,2 т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(установлення каналізаційної станціі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SOLOLIFT)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насос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Вартість каналізаційної станціі Sololift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умивальників одиночних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підведенням холодної води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Умивальники в комплекті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змішувачів (з проточним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електронагрівачем)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Змiшувач з проточним електронагрівачем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Сифон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Шланг до змішувача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унітазів з безпосередньо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bookmarkStart w:id="2" w:name="_GoBack_копія_1"/>
            <w:bookmarkEnd w:id="2"/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приєднаним бачком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Унiтаз в комплекті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трубопроводів каналізації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поліетиленових труб діаметром 50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Вузли укрупнені монтажні з поліетиленових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труб для каналізаціі, діаметр 50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трубопроводів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водопостачання з труб поліетиленових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[поліпропіленових] напірних діаметром 20мм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Труби з поліетилену д.20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кранів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 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Крани кульовi, дiаметром 15мм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проводів по поверхні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Двожильний кабель напругою до 660в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перерiзом 2.1,5мм2 ВВГнгд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Монтаж 1-лампового бра для ламп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розжарювання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Свiтильник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</w:t>
            </w:r>
          </w:p>
        </w:tc>
      </w:tr>
      <w:tr>
        <w:trPr>
          <w:trHeight w:val="584" w:hRule="atLeast"/>
        </w:trPr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вимикачів неутопленого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0,03</w:t>
            </w:r>
          </w:p>
        </w:tc>
      </w:tr>
      <w:tr>
        <w:trPr>
          <w:trHeight w:val="336" w:hRule="atLeast"/>
        </w:trPr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bCs/>
                <w:i/>
                <w:iCs/>
                <w:spacing w:val="-5"/>
                <w:sz w:val="20"/>
                <w:szCs w:val="20"/>
                <w:lang w:eastAsia="en-US"/>
              </w:rPr>
              <w:t>Роздiл 2. Санвузол на 1 кабінку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Розбирання дощатих покриттів підлог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Розбирання лаг з дощок і брусків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Розбирання цегляних стовпчиків під лаги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підстильного шару щебеневого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1,35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підстильного шару піщаного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0,63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гідроізоляції прокладної в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один шар - з плівки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підстильного шару бетонного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цементної стяжки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товщиною 20 мм по бетонній основі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площею понад 20 м2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покриттів з керамічних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плиток на розчині із сухої клеючої суміші,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кількість плиток в 1 м2 понад 7 до 12 шт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перегородок з газобетонних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блоків товщиною 100 мм при висоті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поверху до 4 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0,068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штукатурення поверхонь стін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всередені будівлі цементно-вапняним або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цементним розчином по каменю та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бетону (затягування клейом)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Клей для блоків Ферозіт "140" для Газо та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Піноблоків, 25 кг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44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Облицювання поверхонь стін керамічними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плитками на розчині із сухої клеючої суміші,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число плиток в 1 м2 до 7 шт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0,152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Суцільне вирівнювання бетонних поверхонь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стель [одношарове штукатурення], товщина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шару 5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0,0196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фарбування полівінілацетатними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водоемульсійними сумішами стель по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штукатурці та збірних конструкціях,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підготовлених під фарбування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0,0196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Заповнення дверних прорізів готовими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дверними блоками площею до 2 м2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металопластику  у кам'яних стінах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Двері внутрішні металопластикові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1,6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вентиляторiв в санвузлах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Вентилятор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вентрешітки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виріб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Решітка вентиляційна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кабеля при схованiй проводцi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Двожильний кабель напругою до 660в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перерiзом 2.1,5мм2 ВВГнгд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0,006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вимикачів неутопленого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штепсельних розеток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неутопленого 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насосів відцентрових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електродвигуном масою понад 0,1 до 0,2 т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(установлення каналізаційної станціі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SOLOLIFT)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насос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Вартість каналізаційної станціі Sololift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умивальників одиночних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підведенням холодної води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Умивальники в комплекті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змішувачів (з проточним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електронагрівачем)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Змiшувач з проточним електронагрівачем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Сифон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комплект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Шланг до змішувача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унітазів з безпосередньо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приєднаним бачком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10к-т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Унiтаз в комплекті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трубопроводів каналізації з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поліетиленових труб діаметром 50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Вузли укрупнені монтажні з поліетиленових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труб для каналізаціі, діаметр 50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Прокладання трубопроводів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водопостачання з труб поліетиленових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[поліпропіленових] напірних діаметром 20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Труби з поліетилену д.20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кранів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 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Крани кульовi, дiаметром 15мм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Монтаж 1-лампового бра для ламп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розжарювання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Свiтильник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Установлення вимикачів неутопленого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типу при відкритій проводці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100шт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0,01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bCs/>
                <w:i/>
                <w:iCs/>
                <w:spacing w:val="-5"/>
                <w:sz w:val="20"/>
                <w:szCs w:val="20"/>
                <w:lang w:eastAsia="en-US"/>
              </w:rPr>
              <w:t>Роздiл 3. Зовнішньо-будівельні роботи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Мощення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Планування площ ручним способом, група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ґрунту 2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1000 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0,227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підстильного шару щебеневого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22,7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покриття з фігурних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елементів мощення з приготуванням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піщано-цементної суміші площадок та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тротуарів шириною понад 2 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1000 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0,227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Різання дрібнорозмірних фігурних елементів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мощення [ФЭМ]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1м різу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60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Стіни, стелі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Розробка ґрунту всередині будівлі 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траншеях пд фундаменти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 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0,007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Готування важкого бетону на щебені, клас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бетону В7,5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0,007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стрічкових фундаментів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бетонних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100м3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0,007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Улаштування перегородок з газобетонних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блоків товщиною 100 мм при висоті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поверху до 4 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0,132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штукатурення поверхонь стін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всередені будівлі цементно-вапняним або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цементним розчином по каменю та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бетону (затягування клейом)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0,132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Клей для блоків Ферозіт "140" для Газо та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Піноблоків, 25 кг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26,4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Очищення вручну внутрішніх поверхонь стін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від вапняної фарби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5,1335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Чеканення і розшивання швів цокольних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панелей з внутрішньої сторони розчином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 шва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3,8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Грунтування стін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5,1335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фарбування полівінілацетатними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водоемульсійними сумішами стін по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штукатурці та збірних конструкціях,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підготовлених під фарбування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2,8495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Просте фарбування полівінілацетатними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водоемульсійними сумішами стель по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штукатурці та збірних конструкціях,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підготовлених під фарбування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2,284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cs="Arial" w:ascii="Arial" w:hAnsi="Arial"/>
                <w:b/>
                <w:bCs/>
                <w:i/>
                <w:iCs/>
                <w:spacing w:val="-5"/>
                <w:sz w:val="20"/>
                <w:szCs w:val="20"/>
                <w:lang w:eastAsia="en-US"/>
              </w:rPr>
              <w:t>Роздiл 4. Інші роботи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Ізоляція трубопроводів діаметром 76 мм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полотном скловолокнистим, товщина</w:t>
            </w:r>
          </w:p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ізоляційного шару 80 мм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100м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0,4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Навантаження сміття вручну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 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0,9</w:t>
            </w:r>
          </w:p>
        </w:tc>
      </w:tr>
      <w:tr>
        <w:trPr/>
        <w:tc>
          <w:tcPr>
            <w:tcW w:w="1176" w:type="dxa"/>
            <w:tcBorders>
              <w:left w:val="single" w:sz="12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</w:r>
          </w:p>
        </w:tc>
        <w:tc>
          <w:tcPr>
            <w:tcW w:w="5532" w:type="dxa"/>
            <w:tcBorders/>
          </w:tcPr>
          <w:p>
            <w:pPr>
              <w:pStyle w:val="Normal"/>
              <w:keepLines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Перевезення сміття до 10 км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center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Lines/>
              <w:jc w:val="right"/>
              <w:rPr>
                <w:rFonts w:ascii="Arial" w:hAnsi="Arial" w:cs="Arial"/>
                <w:i/>
                <w:i/>
                <w:iCs/>
                <w:spacing w:val="-5"/>
                <w:sz w:val="20"/>
                <w:szCs w:val="20"/>
                <w:lang w:eastAsia="en-US"/>
              </w:rPr>
            </w:pPr>
            <w:r>
              <w:rPr>
                <w:rFonts w:cs="Arial" w:ascii="Arial" w:hAnsi="Arial"/>
                <w:i/>
                <w:iCs/>
                <w:spacing w:val="-5"/>
                <w:sz w:val="20"/>
                <w:szCs w:val="20"/>
                <w:lang w:eastAsia="en-US"/>
              </w:rPr>
              <w:t>0,9</w:t>
            </w:r>
          </w:p>
        </w:tc>
      </w:tr>
    </w:tbl>
    <w:p>
      <w:pPr>
        <w:pStyle w:val="Normal"/>
        <w:suppressAutoHyphens w:val="true"/>
        <w:spacing w:lineRule="auto" w:line="259" w:before="0" w:after="160"/>
        <w:rPr>
          <w:rFonts w:eastAsia="Calibri"/>
          <w:color w:val="000000"/>
          <w:sz w:val="22"/>
          <w:szCs w:val="22"/>
          <w:lang w:val="uk-UA" w:eastAsia="uk-UA" w:bidi="hi-IN"/>
        </w:rPr>
      </w:pPr>
      <w:r>
        <w:rPr>
          <w:rFonts w:eastAsia="Calibri"/>
          <w:color w:val="000000"/>
          <w:sz w:val="22"/>
          <w:szCs w:val="22"/>
          <w:lang w:val="uk-UA" w:eastAsia="uk-UA" w:bidi="hi-IN"/>
        </w:rPr>
      </w:r>
    </w:p>
    <w:p>
      <w:pPr>
        <w:pStyle w:val="Normal"/>
        <w:tabs>
          <w:tab w:val="left" w:pos="708" w:leader="none"/>
        </w:tabs>
        <w:suppressAutoHyphens w:val="true"/>
        <w:spacing w:lineRule="auto" w:line="259" w:before="0" w:after="160"/>
        <w:jc w:val="center"/>
        <w:textAlignment w:val="baseline"/>
        <w:rPr>
          <w:b/>
          <w:kern w:val="2"/>
          <w:sz w:val="24"/>
          <w:szCs w:val="24"/>
          <w:lang w:val="uk-UA"/>
        </w:rPr>
      </w:pPr>
      <w:r>
        <w:rPr>
          <w:sz w:val="24"/>
          <w:szCs w:val="24"/>
          <w:highlight w:val="yellow"/>
          <w:lang w:val="uk-UA" w:eastAsia="en-US"/>
        </w:rPr>
      </w:r>
    </w:p>
    <w:p>
      <w:pPr>
        <w:pStyle w:val="Normal"/>
        <w:jc w:val="center"/>
        <w:rPr/>
      </w:pPr>
      <w:r>
        <w:rPr>
          <w:sz w:val="24"/>
          <w:szCs w:val="22"/>
          <w:lang w:val="uk-UA" w:eastAsia="uk-UA"/>
        </w:rPr>
        <w:t xml:space="preserve">Уповноважена особа                                      Ольга </w:t>
      </w:r>
      <w:r>
        <w:rPr>
          <w:sz w:val="24"/>
          <w:szCs w:val="22"/>
          <w:lang w:val="uk-UA" w:eastAsia="uk-UA"/>
        </w:rPr>
        <w:t>ДЕМЧУК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28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b2e9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b2e97"/>
    <w:pPr>
      <w:spacing w:after="0" w:line="240" w:lineRule="auto"/>
    </w:pPr>
    <w:rPr>
      <w:lang w:val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LibreOffice/7.6.3.2$Windows_X86_64 LibreOffice_project/29d686fea9f6705b262d369fede658f824154cc0</Application>
  <AppVersion>15.0000</AppVersion>
  <Pages>4</Pages>
  <Words>1404</Words>
  <Characters>8430</Characters>
  <CharactersWithSpaces>9357</CharactersWithSpaces>
  <Paragraphs>543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2024-05-24T10:49:00Z</dcterms:created>
  <dc:creator>Пользователь Windows</dc:creator>
  <dc:description/>
  <dc:language>uk-UA</dc:language>
  <cp:lastModifiedBy/>
  <dcterms:modified xsi:type="dcterms:W3CDTF">2024-10-22T10:33:01Z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