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>Обґрунтування закупівлі: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eastAsia="Calibri" w:cs="Times New Roman" w:ascii="Times New Roman" w:hAnsi="Times New Roman"/>
          <w:sz w:val="28"/>
          <w:szCs w:val="28"/>
          <w:lang w:val="uk-UA"/>
        </w:rPr>
        <w:t>Послуги з організації  гарячого харчування учнів 1-4 класів (аутсорсинг)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cs="Times New Roman" w:ascii="Times New Roman" w:hAnsi="Times New Roman"/>
          <w:sz w:val="28"/>
          <w:szCs w:val="28"/>
          <w:lang w:val="uk-UA" w:eastAsia="uk-UA"/>
        </w:rPr>
        <w:t xml:space="preserve">Код </w:t>
      </w:r>
      <w:r>
        <w:rPr>
          <w:rFonts w:cs="Times New Roman" w:ascii="Times New Roman" w:hAnsi="Times New Roman"/>
          <w:bCs/>
          <w:color w:val="000000"/>
          <w:sz w:val="28"/>
          <w:szCs w:val="28"/>
        </w:rPr>
        <w:t>ДК 021:2015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uk-UA"/>
        </w:rPr>
        <w:t>:</w:t>
      </w:r>
      <w:r>
        <w:rPr>
          <w:bCs/>
          <w:color w:val="000000"/>
          <w:sz w:val="24"/>
          <w:szCs w:val="24"/>
          <w:lang w:val="uk-UA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  <w:t>55510000 - 8 — послуги їдалень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</w:r>
    </w:p>
    <w:p>
      <w:pPr>
        <w:pStyle w:val="Normal"/>
        <w:spacing w:lineRule="auto" w:line="276" w:before="0" w:after="0"/>
        <w:jc w:val="center"/>
        <w:rPr>
          <w:lang w:val="uk-UA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uk-UA"/>
        </w:rPr>
        <w:t xml:space="preserve">Закупівля </w:t>
      </w:r>
      <w:bookmarkStart w:id="0" w:name="selectable"/>
      <w:bookmarkEnd w:id="0"/>
      <w:r>
        <w:rPr>
          <w:rStyle w:val="Nr-t"/>
          <w:rFonts w:cs="Times New Roman" w:ascii="Times New Roman" w:hAnsi="Times New Roman"/>
          <w:b/>
          <w:bCs/>
          <w:sz w:val="28"/>
          <w:szCs w:val="28"/>
          <w:u w:val="single"/>
          <w:shd w:fill="FFFFFF" w:val="clear"/>
          <w:lang w:val="uk-UA"/>
        </w:rPr>
        <w:t>UA-2024-10-15-011501-a</w:t>
      </w:r>
      <w:r>
        <w:rPr>
          <w:rStyle w:val="Nr-t"/>
          <w:rFonts w:cs="Times New Roman" w:ascii="Times New Roman" w:hAnsi="Times New Roman"/>
          <w:b/>
          <w:bCs/>
          <w:sz w:val="28"/>
          <w:szCs w:val="28"/>
          <w:highlight w:val="yellow"/>
          <w:u w:val="single"/>
          <w:lang w:val="uk-UA"/>
        </w:rPr>
        <w:t xml:space="preserve"> </w:t>
      </w:r>
    </w:p>
    <w:p>
      <w:pPr>
        <w:pStyle w:val="Normal"/>
        <w:spacing w:lineRule="auto" w:line="276" w:before="0" w:after="0"/>
        <w:jc w:val="both"/>
        <w:rPr>
          <w:lang w:val="uk-UA"/>
        </w:rPr>
      </w:pPr>
      <w:r>
        <w:rPr>
          <w:lang w:val="uk-UA"/>
        </w:rPr>
      </w:r>
    </w:p>
    <w:p>
      <w:pPr>
        <w:pStyle w:val="Normal"/>
        <w:spacing w:lineRule="auto" w:line="276" w:before="0" w:after="0"/>
        <w:jc w:val="both"/>
        <w:rPr>
          <w:lang w:val="uk-UA"/>
        </w:rPr>
      </w:pPr>
      <w:r>
        <w:rPr>
          <w:lang w:val="uk-UA"/>
        </w:rPr>
      </w:r>
    </w:p>
    <w:tbl>
      <w:tblPr>
        <w:tblStyle w:val="a3"/>
        <w:tblW w:w="96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4"/>
        <w:gridCol w:w="2268"/>
        <w:gridCol w:w="6662"/>
      </w:tblGrid>
      <w:tr>
        <w:trPr/>
        <w:tc>
          <w:tcPr>
            <w:tcW w:w="7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1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Назва предмета закупівлі</w:t>
            </w:r>
          </w:p>
        </w:tc>
        <w:tc>
          <w:tcPr>
            <w:tcW w:w="6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Послуги з організації гарячого харчування учнів 1-4 класів (аутсорсинг) комунального закладу загальної середньої освіти  «Луцький ліцей № 4 імені Модеста Левицького Луцької міської ради».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  <w:lang w:val="uk-U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white"/>
                <w:lang w:val="ru-RU" w:eastAsia="en-US" w:bidi="ar-SA"/>
              </w:rPr>
              <w:t>(ДК 021-2015 55510000-8 Послуги їдалень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7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Харчування учнів повинно повністю відповідати фізіологічній потребі дитячого організму у поживних речовинах та енергії відповідно до віково-статевих особливостей, а також вимогам санітарного законодавства та нормам харчування, встановленим постановою Кабінету Міністрів України 24.03.2021 № 305.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Учасник розраховує ціну послуги відповідно до примірного чотиритижневого сезонного меню для різних вікових груп, що також враховують особливі дієтичні потреби здобувачів освіти/дітей (у разі їх наявності), потребу у лікувальному харчуванні (у разі прийняття відповідного рішення засновником закладу) та сезонність (осінь, зима, весна, літо). Крім послуги з організації шкільного харчування, учасник може забезпечити відповідною дозволеною постановою Кабінету Міністрів України 24.03.2021 № 305 до реалізації в закладі освіти буфетною продукцією та забезпечити роботу буфету відповідним персоналом і обладнанням. Послуги з організації шкільного харчування, а також приготування їжі повинні здійснюватися виключно в приміщенні їдальні та харчоблоку закладу освіти.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Ціна послуг та буфетної продукції має включати в себе витрати на закупівлю продуктів, транспортування, приготування, а також витрати на прибирання та миття посуду, тощо.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b/>
                <w:bCs/>
                <w:kern w:val="0"/>
                <w:sz w:val="23"/>
                <w:szCs w:val="23"/>
                <w:lang w:val="ru-RU" w:eastAsia="en-US" w:bidi="ar-SA"/>
              </w:rPr>
              <w:t>Кількість учнів може змінюватися відповідно до фактичного відвідування.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Учасник у пропозиції також враховує, що протягом року змінюється віковий та кількісний склад учнів, а також необхідність в організації дієтичного та, можливо, лікувального харчування, тому можливі зміни в кількості дітей в кожній віковій групі та потребі у дієтичному та лікувальному харчуванні.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Учасник повинен забезпечити необхідну кількість штатного персоналу для приготування їжі, миття посуду, прибирання харчоблоку, видачі готових страв, повного сервірування столів та прибирання столів.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Персонал, який планується залучати безпосередньо до приготування їжі, повинен мати медичні книжки з результатами проходження періодичних профілактичних медичних оглядів, інші необхідні документи.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Продукти, які використовуються під час приготування їжі, повинні мати всі необхідні відповідно до законодавства документи, що підтверджують їх якість та безпечність, та відповідати гігієнічним вимогам до харчових продуктів.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Під час надання послуг та приготування їжі учасник забезпечує безперешкодний доступ на харчоблок працівникам замовника, здійснюючим контроль і нагляд, для проведення перевірки відповідності виробництва, зберігання, транспортування, реалізації і використання харчових продуктів.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Учасник повинен щодня проводити бракераж готових страв за участю медичного працівника школи чи іншої визначеної керівником закладу відповідальною за проведення бракеражу особою/особами. У разі встановлення та актування бракеражем факту неякісного приготування готових страв їх заміна повинна бути проведена не пізніше ніж протягом двох годин та забезпечено дотримання вимог щодо відбору і зберігання добових проб страв.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Протягом надання послуг учасник повинен забезпечувати їдальню достатньою кількістю столового та кухонного посуду, кухонного інвентарю, спеціального та санітарного одягу, миючими і дезінфікуючими засобами, здійснювати технічне обслуговування та поточний ремонт обладнання харчоблоку, здійснювати централізоване прання санітарного одягу, вживати заходи щодо забезпечення дотримання правил пожежної безпеки.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Надання послуг повинно здійснюватися лише при наявності умов для дотримання правил особистої гігієни персоналом харчоблоку.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Протягом надання послуг учасник повинен забезпечувати належний санітарний стан харчоблоку замовника.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Протягом строку надання послуг учасник повинен забезпечувати збереження приміщень та обладнання, розташованого у харчоблоці замовника. У разі необхідності здійснювати проведення поточних ремонтів приміщень, інженерних мереж та відшкодування завданих збитків.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На вимогу замовника учасник повинен представляти документи про якість та безпечність на усі продукти харчування, які використовуються для надання послуг.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Учасник несе відповідальність за якість та безпеку готової продукції, яка видається до споживання згідно норм чинного законодавства України.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Учасник повинен надати замовнику послуги, якість яких відповідає наступним нормативним актам: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- Закон України «Про основні принципи та вимоги до безпечності та якості харчових продуктів».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- Постанова Кабінету Міністрів України 24.03.2021 № 305 «Про затвердження норм та Порядку організації харчування у закладах освіти та дитячих закладах оздоровлення та відпочинку».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eastAsia="Calibri" w:cs="" w:ascii="Times New Roman" w:hAnsi="Times New Roman"/>
                <w:kern w:val="0"/>
                <w:sz w:val="23"/>
                <w:szCs w:val="23"/>
                <w:lang w:val="ru-RU" w:eastAsia="en-US" w:bidi="ar-SA"/>
              </w:rPr>
              <w:t xml:space="preserve">- Порядок надання послуг з харчування дітей у дошкільних, учнів у загальноосвітніх навчальних закладах, операції з надання яких звільняються від обкладення податком на додану вартість, затверджений </w:t>
            </w:r>
            <w:r>
              <w:rPr>
                <w:rFonts w:eastAsia="Calibri" w:cs="Times New Roman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Постановою Кабінету Міністрів України 02.02.2011 № 116.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eastAsia="Calibri" w:cs="Times New Roman" w:ascii="Times New Roman" w:hAnsi="Times New Roman"/>
                <w:kern w:val="0"/>
                <w:sz w:val="23"/>
                <w:szCs w:val="23"/>
                <w:lang w:val="ru-RU" w:eastAsia="en-US" w:bidi="ar-SA"/>
              </w:rPr>
              <w:t>- іншим нормативно-правовим актам.</w:t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3.1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Обґрунтування очікуваної вартості предмета закупівлі</w:t>
            </w:r>
          </w:p>
        </w:tc>
        <w:tc>
          <w:tcPr>
            <w:tcW w:w="6662" w:type="dxa"/>
            <w:tcBorders/>
          </w:tcPr>
          <w:p>
            <w:pPr>
              <w:pStyle w:val="Normal"/>
              <w:widowControl/>
              <w:suppressAutoHyphens w:val="tru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Очікувана вартість предмета/послуги закупівлі складає 980</w:t>
            </w:r>
            <w:r>
              <w:rPr>
                <w:rStyle w:val="Price"/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uk-UA" w:eastAsia="en-US" w:bidi="ar-SA"/>
              </w:rPr>
              <w:t xml:space="preserve"> 500 грн. 00 коп. за кошти державної субвенції (70%) та кошти ЛМТГ (30%) через співфінансування, відповідно до Постанови КМУ від 04.10.2024 року № 1145 «Деякі питання надання субвенції з Державного бюджету місцевим бюджетам на забезпечення харчуванням учнів початкових класів закладів загальної середньої освіти у 2024 році», </w:t>
            </w:r>
            <w:r>
              <w:rPr>
                <w:rStyle w:val="Price"/>
                <w:rFonts w:eastAsia="Calibri" w:cs="Times New Roman" w:ascii="Times New Roman" w:hAnsi="Times New Roman"/>
                <w:bCs/>
                <w:kern w:val="0"/>
                <w:sz w:val="24"/>
                <w:szCs w:val="24"/>
                <w:shd w:fill="FFFFFF" w:val="clear"/>
                <w:lang w:val="uk-UA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uk-UA" w:eastAsia="en-US" w:bidi="ar-SA"/>
              </w:rPr>
              <w:t>без ПДВ і визначена відповідно до примірної методики визначення очікуваної вартості предмета закупівлі (затверджена наказом Міністерства розвитку економіки, торгівлі та сільського господарства України від 18.02.2020 року № 275) виходячи з моніторингу цін на ринку.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highlight w:val="yellow"/>
                <w:lang w:val="uk-UA"/>
              </w:rPr>
            </w:r>
          </w:p>
        </w:tc>
      </w:tr>
      <w:tr>
        <w:trPr/>
        <w:tc>
          <w:tcPr>
            <w:tcW w:w="7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uk-UA" w:eastAsia="en-US" w:bidi="ar-SA"/>
              </w:rPr>
              <w:t>3.2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Style w:val="Rvts23"/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Орієнтовні обсяги надання послуг та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 xml:space="preserve"> кількість учнів</w:t>
            </w:r>
          </w:p>
        </w:tc>
        <w:tc>
          <w:tcPr>
            <w:tcW w:w="6662" w:type="dxa"/>
            <w:tcBorders/>
          </w:tcPr>
          <w:tbl>
            <w:tblPr>
              <w:tblStyle w:val="a3"/>
              <w:tblW w:w="643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2834"/>
              <w:gridCol w:w="3595"/>
            </w:tblGrid>
            <w:tr>
              <w:trPr/>
              <w:tc>
                <w:tcPr>
                  <w:tcW w:w="2834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4"/>
                      <w:szCs w:val="24"/>
                      <w:lang w:val="ru-RU" w:eastAsia="en-US" w:bidi="ar-SA"/>
                    </w:rPr>
                    <w:t>Назва предмету закупівлі</w:t>
                  </w:r>
                </w:p>
              </w:tc>
              <w:tc>
                <w:tcPr>
                  <w:tcW w:w="3595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2"/>
                      <w:szCs w:val="22"/>
                      <w:lang w:val="ru-RU" w:eastAsia="en-US" w:bidi="ar-SA"/>
                    </w:rPr>
                    <w:t>Послуги з організації гарячого харчування учнів 1-4 класів</w:t>
                  </w:r>
                </w:p>
              </w:tc>
            </w:tr>
            <w:tr>
              <w:trPr/>
              <w:tc>
                <w:tcPr>
                  <w:tcW w:w="2834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4"/>
                      <w:szCs w:val="24"/>
                      <w:lang w:val="ru-RU" w:eastAsia="en-US" w:bidi="ar-SA"/>
                    </w:rPr>
                    <w:t>Код ДК 021:2015</w:t>
                  </w:r>
                </w:p>
              </w:tc>
              <w:tc>
                <w:tcPr>
                  <w:tcW w:w="3595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55510000-8 - Послуги їдалень</w:t>
                  </w:r>
                </w:p>
              </w:tc>
            </w:tr>
            <w:tr>
              <w:trPr/>
              <w:tc>
                <w:tcPr>
                  <w:tcW w:w="2834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4"/>
                      <w:szCs w:val="24"/>
                      <w:lang w:val="ru-RU" w:eastAsia="en-US" w:bidi="ar-SA"/>
                    </w:rPr>
                    <w:t>Обсяг надання послуг</w:t>
                  </w:r>
                </w:p>
              </w:tc>
              <w:tc>
                <w:tcPr>
                  <w:tcW w:w="3595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lineRule="auto" w:line="252" w:before="0"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22"/>
                      <w:szCs w:val="22"/>
                      <w:lang w:val="uk-UA" w:eastAsia="en-US" w:bidi="ar-SA"/>
                    </w:rPr>
                    <w:t>9610</w:t>
                  </w:r>
                  <w:r>
                    <w:rPr>
                      <w:rFonts w:eastAsia="Calibri" w:cs="" w:ascii="Times New Roman" w:hAnsi="Times New Roman"/>
                      <w:kern w:val="0"/>
                      <w:sz w:val="22"/>
                      <w:szCs w:val="22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" w:ascii="Times New Roman" w:hAnsi="Times New Roman"/>
                      <w:kern w:val="0"/>
                      <w:sz w:val="22"/>
                      <w:szCs w:val="22"/>
                      <w:lang w:val="ru-RU" w:eastAsia="en-US" w:bidi="ar-SA"/>
                    </w:rPr>
                    <w:t xml:space="preserve">діто/днів </w:t>
                  </w:r>
                  <w:r>
                    <w:rPr>
                      <w:rFonts w:eastAsia="Calibri" w:cs="" w:ascii="Times New Roman" w:hAnsi="Times New Roman"/>
                      <w:kern w:val="0"/>
                      <w:sz w:val="22"/>
                      <w:szCs w:val="22"/>
                      <w:lang w:val="uk-UA" w:eastAsia="en-US" w:bidi="ar-SA"/>
                    </w:rPr>
                    <w:t>(</w:t>
                  </w:r>
                  <w:r>
                    <w:rPr>
                      <w:rFonts w:eastAsia="Calibri" w:cs="" w:ascii="Times New Roman" w:hAnsi="Times New Roman"/>
                      <w:kern w:val="0"/>
                      <w:sz w:val="22"/>
                      <w:szCs w:val="22"/>
                      <w:lang w:val="ru-RU" w:eastAsia="en-US" w:bidi="ar-SA"/>
                    </w:rPr>
                    <w:t>послуг)</w:t>
                  </w:r>
                </w:p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  <w:lang w:val="uk-UA"/>
                    </w:rPr>
                  </w:r>
                </w:p>
              </w:tc>
            </w:tr>
            <w:tr>
              <w:trPr/>
              <w:tc>
                <w:tcPr>
                  <w:tcW w:w="2834" w:type="dxa"/>
                  <w:vMerge w:val="restart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4"/>
                      <w:szCs w:val="24"/>
                      <w:lang w:val="uk-UA" w:eastAsia="en-US" w:bidi="ar-SA"/>
                    </w:rPr>
                    <w:t>Орієнтовна кількість учнів при умові 100% відвідуванні школи та кількість днів, у які здійснюється харчування</w:t>
                  </w:r>
                </w:p>
              </w:tc>
              <w:tc>
                <w:tcPr>
                  <w:tcW w:w="3595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Прогнозована кількість</w:t>
                  </w:r>
                </w:p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учнів:</w:t>
                  </w: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4"/>
                      <w:szCs w:val="24"/>
                      <w:lang w:val="uk-UA" w:eastAsia="en-US" w:bidi="ar-SA"/>
                    </w:rPr>
                    <w:t>530</w:t>
                  </w:r>
                </w:p>
              </w:tc>
            </w:tr>
            <w:tr>
              <w:trPr/>
              <w:tc>
                <w:tcPr>
                  <w:tcW w:w="2834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  <w:lang w:val="uk-UA"/>
                    </w:rPr>
                  </w:r>
                </w:p>
              </w:tc>
              <w:tc>
                <w:tcPr>
                  <w:tcW w:w="3595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Орієнтована кількість днів харчування: 37</w:t>
                  </w:r>
                </w:p>
              </w:tc>
            </w:tr>
            <w:tr>
              <w:trPr/>
              <w:tc>
                <w:tcPr>
                  <w:tcW w:w="2834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4"/>
                      <w:szCs w:val="24"/>
                      <w:lang w:val="ru-RU" w:eastAsia="en-US" w:bidi="ar-SA"/>
                    </w:rPr>
                    <w:t>Місце надання послуг</w:t>
                  </w:r>
                </w:p>
              </w:tc>
              <w:tc>
                <w:tcPr>
                  <w:tcW w:w="3595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lineRule="auto" w:line="252" w:before="0" w:after="0"/>
                    <w:jc w:val="left"/>
                    <w:rPr>
                      <w:rFonts w:ascii="Times New Roman" w:hAnsi="Times New Roman" w:cs="Times New Roman"/>
                      <w:lang w:eastAsia="ru-RU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22"/>
                      <w:szCs w:val="22"/>
                      <w:lang w:val="ru-RU" w:eastAsia="en-US" w:bidi="ar-SA"/>
                    </w:rPr>
                    <w:t>Адреса:</w:t>
                  </w:r>
                  <w:r>
                    <w:rPr>
                      <w:rFonts w:eastAsia="Calibri" w:cs="" w:ascii="Times New Roman" w:hAnsi="Times New Roman"/>
                      <w:kern w:val="0"/>
                      <w:sz w:val="22"/>
                      <w:szCs w:val="22"/>
                      <w:shd w:fill="FDFEFD" w:val="clear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ru-RU" w:eastAsia="ru-RU" w:bidi="ar-SA"/>
                    </w:rPr>
                    <w:t>4302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uk-UA" w:eastAsia="ru-RU" w:bidi="ar-SA"/>
                    </w:rPr>
                    <w:t>5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ru-RU" w:eastAsia="ru-RU" w:bidi="ar-SA"/>
                    </w:rPr>
                    <w:t xml:space="preserve">, м. Луцьк, проспект Волі,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uk-UA" w:eastAsia="ru-RU" w:bidi="ar-SA"/>
                    </w:rPr>
                    <w:t>25</w:t>
                  </w:r>
                </w:p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ru-RU" w:eastAsia="ru-RU" w:bidi="ar-SA"/>
                    </w:rPr>
                    <w:t>Комунальний заклад загальної середньої освіти «Луцький ліцей  №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uk-UA" w:eastAsia="ru-RU" w:bidi="ar-SA"/>
                    </w:rPr>
                    <w:t xml:space="preserve"> 4 імені Модеста Левицького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ru-RU" w:eastAsia="ru-RU" w:bidi="ar-SA"/>
                    </w:rPr>
                    <w:t>Луцької міської ради»</w:t>
                  </w:r>
                </w:p>
              </w:tc>
            </w:tr>
            <w:tr>
              <w:trPr/>
              <w:tc>
                <w:tcPr>
                  <w:tcW w:w="2834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b/>
                      <w:bCs/>
                      <w:kern w:val="0"/>
                      <w:sz w:val="24"/>
                      <w:szCs w:val="24"/>
                      <w:lang w:val="ru-RU" w:eastAsia="en-US" w:bidi="ar-SA"/>
                    </w:rPr>
                    <w:t>Строк надання послуг</w:t>
                  </w:r>
                </w:p>
              </w:tc>
              <w:tc>
                <w:tcPr>
                  <w:tcW w:w="3595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 w:cs="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до 31.12.2024 р. включно</w:t>
                  </w:r>
                </w:p>
              </w:tc>
            </w:tr>
          </w:tbl>
          <w:p>
            <w:pPr>
              <w:pStyle w:val="Normal"/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uk-UA"/>
              </w:rPr>
            </w:r>
            <w:bookmarkStart w:id="1" w:name="_GoBack"/>
            <w:bookmarkStart w:id="2" w:name="_Hlk67041502"/>
            <w:bookmarkStart w:id="3" w:name="_GoBack"/>
            <w:bookmarkStart w:id="4" w:name="_Hlk67041502"/>
            <w:bookmarkEnd w:id="3"/>
            <w:bookmarkEnd w:id="4"/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uk-UA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cs="Times New Roman" w:ascii="Times New Roman" w:hAnsi="Times New Roman"/>
          <w:b/>
          <w:bCs/>
          <w:sz w:val="26"/>
          <w:szCs w:val="26"/>
          <w:lang w:val="uk-UA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  <w:lang w:val="uk-UA"/>
        </w:rPr>
        <w:t xml:space="preserve">Уповноважена особа </w:t>
        <w:tab/>
        <w:tab/>
        <w:tab/>
        <w:tab/>
        <w:t>Ольга Демчук</w:t>
      </w:r>
    </w:p>
    <w:sectPr>
      <w:type w:val="nextPage"/>
      <w:pgSz w:w="11906" w:h="16838"/>
      <w:pgMar w:left="1701" w:right="566" w:gutter="0" w:header="0" w:top="851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у виносці Знак"/>
    <w:basedOn w:val="DefaultParagraphFont"/>
    <w:link w:val="BalloonText"/>
    <w:uiPriority w:val="99"/>
    <w:semiHidden/>
    <w:qFormat/>
    <w:rsid w:val="00e129e4"/>
    <w:rPr>
      <w:rFonts w:ascii="Segoe UI" w:hAnsi="Segoe UI" w:cs="Segoe UI"/>
      <w:sz w:val="18"/>
      <w:szCs w:val="18"/>
    </w:rPr>
  </w:style>
  <w:style w:type="character" w:styleId="Ng-binding" w:customStyle="1">
    <w:name w:val="ng-binding"/>
    <w:basedOn w:val="DefaultParagraphFont"/>
    <w:qFormat/>
    <w:rsid w:val="00d34149"/>
    <w:rPr/>
  </w:style>
  <w:style w:type="character" w:styleId="295pt" w:customStyle="1">
    <w:name w:val="Основний текст (2) + 9;5 pt;Не напівжирний"/>
    <w:basedOn w:val="DefaultParagraphFont"/>
    <w:qFormat/>
    <w:rsid w:val="002551e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uk-UA" w:eastAsia="uk-UA" w:bidi="uk-UA"/>
    </w:rPr>
  </w:style>
  <w:style w:type="character" w:styleId="Hyperlink">
    <w:name w:val="Hyperlink"/>
    <w:basedOn w:val="DefaultParagraphFont"/>
    <w:uiPriority w:val="99"/>
    <w:semiHidden/>
    <w:unhideWhenUsed/>
    <w:rsid w:val="00a70d8c"/>
    <w:rPr>
      <w:color w:val="0000FF"/>
      <w:u w:val="single"/>
    </w:rPr>
  </w:style>
  <w:style w:type="character" w:styleId="Nr-t" w:customStyle="1">
    <w:name w:val="nr-t"/>
    <w:basedOn w:val="DefaultParagraphFont"/>
    <w:qFormat/>
    <w:rsid w:val="00d42597"/>
    <w:rPr/>
  </w:style>
  <w:style w:type="character" w:styleId="Price" w:customStyle="1">
    <w:name w:val="price"/>
    <w:basedOn w:val="DefaultParagraphFont"/>
    <w:qFormat/>
    <w:rsid w:val="00d42597"/>
    <w:rPr/>
  </w:style>
  <w:style w:type="character" w:styleId="Ng-scope" w:customStyle="1">
    <w:name w:val="ng-scope"/>
    <w:basedOn w:val="DefaultParagraphFont"/>
    <w:qFormat/>
    <w:rsid w:val="00d42597"/>
    <w:rPr/>
  </w:style>
  <w:style w:type="character" w:styleId="Rvts23" w:customStyle="1">
    <w:name w:val="rvts23"/>
    <w:basedOn w:val="DefaultParagraphFont"/>
    <w:qFormat/>
    <w:rsid w:val="00161a3f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129e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2551e3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uk-UA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270e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Application>LibreOffice/7.6.3.2$Windows_X86_64 LibreOffice_project/29d686fea9f6705b262d369fede658f824154cc0</Application>
  <AppVersion>15.0000</AppVersion>
  <Pages>3</Pages>
  <Words>830</Words>
  <Characters>5801</Characters>
  <CharactersWithSpaces>6589</CharactersWithSpaces>
  <Paragraphs>52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2022-05-27T07:53:00Z</dcterms:created>
  <dc:creator>Василь М. Бойко</dc:creator>
  <dc:description/>
  <dc:language>uk-UA</dc:language>
  <cp:lastModifiedBy/>
  <cp:lastPrinted>2022-05-27T08:28:00Z</cp:lastPrinted>
  <dcterms:modified xsi:type="dcterms:W3CDTF">2024-10-15T16:05:20Z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