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t xml:space="preserve">Обґрунтування закупівлі: 55510000 - 8 — послуги їдалень </w:t>
      </w:r>
    </w:p>
    <w:p>
      <w:pPr>
        <w:pStyle w:val="Normal"/>
        <w:spacing w:lineRule="auto" w:line="240" w:before="0" w:after="0"/>
        <w:jc w:val="center"/>
        <w:rPr>
          <w:rFonts w:ascii="Times New Roman" w:hAnsi="Times New Roman" w:eastAsia="Times New Roman" w:cs="Times New Roman"/>
          <w:sz w:val="28"/>
          <w:szCs w:val="28"/>
        </w:rPr>
      </w:pPr>
      <w:r>
        <w:rPr>
          <w:rFonts w:cs="Times New Roman" w:ascii="Times New Roman" w:hAnsi="Times New Roman"/>
          <w:b/>
          <w:bCs/>
          <w:sz w:val="28"/>
          <w:szCs w:val="28"/>
        </w:rPr>
        <w:t>(</w:t>
      </w:r>
      <w:r>
        <w:rPr>
          <w:rFonts w:eastAsia="Times New Roman" w:cs="Times New Roman" w:ascii="Times New Roman" w:hAnsi="Times New Roman"/>
          <w:sz w:val="28"/>
          <w:szCs w:val="28"/>
        </w:rPr>
        <w:t>Послуги з організації  гарячого харчування учнів пільгових категорій</w:t>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t xml:space="preserve">комунального закладу загальної середньої освіти  </w:t>
      </w:r>
    </w:p>
    <w:p>
      <w:pPr>
        <w:pStyle w:val="Normal"/>
        <w:spacing w:before="0" w:after="0"/>
        <w:jc w:val="center"/>
        <w:rPr>
          <w:rFonts w:ascii="Times New Roman" w:hAnsi="Times New Roman" w:cs="Times New Roman"/>
          <w:b/>
          <w:bCs/>
          <w:sz w:val="28"/>
          <w:szCs w:val="28"/>
        </w:rPr>
      </w:pPr>
      <w:r>
        <w:rPr>
          <w:rFonts w:cs="Times New Roman" w:ascii="Times New Roman" w:hAnsi="Times New Roman"/>
          <w:sz w:val="28"/>
          <w:szCs w:val="28"/>
        </w:rPr>
        <w:t xml:space="preserve">«Луцький ліцей № </w:t>
      </w:r>
      <w:r>
        <w:rPr>
          <w:rFonts w:cs="Times New Roman" w:ascii="Times New Roman" w:hAnsi="Times New Roman"/>
          <w:sz w:val="28"/>
          <w:szCs w:val="28"/>
        </w:rPr>
        <w:t>4 імені Модеста Левицького</w:t>
      </w:r>
      <w:r>
        <w:rPr>
          <w:rFonts w:cs="Times New Roman" w:ascii="Times New Roman" w:hAnsi="Times New Roman"/>
          <w:sz w:val="28"/>
          <w:szCs w:val="28"/>
        </w:rPr>
        <w:t xml:space="preserve"> Луцької міської ради»).</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bCs/>
          <w:sz w:val="26"/>
          <w:szCs w:val="26"/>
        </w:rPr>
        <w:t xml:space="preserve">Закупівля </w:t>
      </w:r>
      <w:bookmarkStart w:id="0" w:name="selectable"/>
      <w:bookmarkEnd w:id="0"/>
      <w:r>
        <w:rPr>
          <w:rFonts w:cs="Times New Roman" w:ascii="Times New Roman" w:hAnsi="Times New Roman"/>
          <w:b/>
          <w:bCs/>
          <w:sz w:val="26"/>
          <w:szCs w:val="26"/>
        </w:rPr>
        <w:t xml:space="preserve">UA-2023-12-21-016018-a </w:t>
      </w:r>
      <w:r>
        <w:rPr/>
        <w:t xml:space="preserve">   </w:t>
      </w:r>
    </w:p>
    <w:p>
      <w:pPr>
        <w:pStyle w:val="Normal"/>
        <w:widowControl w:val="false"/>
        <w:spacing w:lineRule="auto" w:line="240" w:before="0" w:after="0"/>
        <w:ind w:right="-181"/>
        <w:jc w:val="center"/>
        <w:rPr>
          <w:rFonts w:ascii="Times New Roman" w:hAnsi="Times New Roman" w:eastAsia="Calibri" w:cs="Times New Roman"/>
          <w:b/>
          <w:sz w:val="24"/>
          <w:szCs w:val="24"/>
        </w:rPr>
      </w:pPr>
      <w:r>
        <w:rPr>
          <w:rFonts w:eastAsia="Calibri" w:cs="Times New Roman" w:ascii="Times New Roman" w:hAnsi="Times New Roman"/>
          <w:b/>
          <w:sz w:val="24"/>
          <w:szCs w:val="24"/>
        </w:rPr>
      </w:r>
    </w:p>
    <w:tbl>
      <w:tblPr>
        <w:tblStyle w:val="a3"/>
        <w:tblpPr w:vertAnchor="text" w:horzAnchor="margin" w:tblpXSpec="center" w:leftFromText="180" w:rightFromText="180" w:tblpY="638"/>
        <w:tblW w:w="1040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122"/>
        <w:gridCol w:w="5446"/>
        <w:gridCol w:w="2835"/>
      </w:tblGrid>
      <w:tr>
        <w:trPr/>
        <w:tc>
          <w:tcPr>
            <w:tcW w:w="2122" w:type="dxa"/>
            <w:tcBorders/>
          </w:tcPr>
          <w:p>
            <w:pPr>
              <w:pStyle w:val="Normal"/>
              <w:widowContro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t>Найменування предмета закупівлі із зазначенням коду</w:t>
            </w:r>
          </w:p>
        </w:tc>
        <w:tc>
          <w:tcPr>
            <w:tcW w:w="5446" w:type="dxa"/>
            <w:tcBorders/>
          </w:tcPr>
          <w:p>
            <w:pPr>
              <w:pStyle w:val="Normal"/>
              <w:widowContro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t>Обґрунтування технічних</w:t>
            </w:r>
          </w:p>
          <w:p>
            <w:pPr>
              <w:pStyle w:val="Normal"/>
              <w:widowContro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t>та якісних характеристик предмета закупівлі</w:t>
            </w:r>
          </w:p>
        </w:tc>
        <w:tc>
          <w:tcPr>
            <w:tcW w:w="2835" w:type="dxa"/>
            <w:tcBorders/>
          </w:tcPr>
          <w:p>
            <w:pPr>
              <w:pStyle w:val="Normal"/>
              <w:widowContro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t>Обґрунтування очікуваної вартості предмета закупівлі*, розміру бюджетного призначення</w:t>
            </w:r>
          </w:p>
        </w:tc>
      </w:tr>
      <w:tr>
        <w:trPr/>
        <w:tc>
          <w:tcPr>
            <w:tcW w:w="2122" w:type="dxa"/>
            <w:tcBorders/>
          </w:tcPr>
          <w:p>
            <w:pPr>
              <w:pStyle w:val="Normal"/>
              <w:widowControl/>
              <w:spacing w:lineRule="auto" w:line="240" w:before="0" w:after="0"/>
              <w:jc w:val="left"/>
              <w:rPr>
                <w:rFonts w:ascii="Times New Roman" w:hAnsi="Times New Roman" w:cs="Times New Roman"/>
                <w:color w:val="333333"/>
                <w:sz w:val="28"/>
                <w:szCs w:val="28"/>
              </w:rPr>
            </w:pPr>
            <w:r>
              <w:rPr>
                <w:rFonts w:eastAsia="Times New Roman" w:cs="Times New Roman" w:ascii="Times New Roman" w:hAnsi="Times New Roman"/>
                <w:bCs/>
                <w:color w:val="333333"/>
                <w:kern w:val="2"/>
                <w:sz w:val="28"/>
                <w:szCs w:val="28"/>
                <w:lang w:val="uk-UA" w:eastAsia="uk-UA" w:bidi="ar-SA"/>
              </w:rPr>
              <w:t>Послуги з організації гарячого харчування учнів пільгових категорій</w:t>
            </w:r>
          </w:p>
          <w:p>
            <w:pPr>
              <w:pStyle w:val="Normal"/>
              <w:widowControl/>
              <w:spacing w:lineRule="auto" w:line="240" w:before="0" w:after="0"/>
              <w:jc w:val="left"/>
              <w:rPr>
                <w:rFonts w:ascii="Times New Roman" w:hAnsi="Times New Roman" w:eastAsia="Calibri" w:cs="Times New Roman"/>
                <w:sz w:val="28"/>
                <w:szCs w:val="28"/>
              </w:rPr>
            </w:pPr>
            <w:r>
              <w:rPr>
                <w:rFonts w:eastAsia="Calibri" w:cs="Times New Roman" w:ascii="Times New Roman" w:hAnsi="Times New Roman"/>
                <w:color w:val="333333"/>
                <w:kern w:val="0"/>
                <w:sz w:val="28"/>
                <w:szCs w:val="28"/>
                <w:lang w:val="uk-UA" w:eastAsia="en-US" w:bidi="ar-SA"/>
              </w:rPr>
              <w:t>код ДК 021:2015:55510000-8: Послуги їдалень</w:t>
            </w:r>
          </w:p>
        </w:tc>
        <w:tc>
          <w:tcPr>
            <w:tcW w:w="5446" w:type="dxa"/>
            <w:tcBorders/>
          </w:tcPr>
          <w:p>
            <w:pPr>
              <w:pStyle w:val="Normal"/>
              <w:widowControl/>
              <w:suppressAutoHyphens w:val="true"/>
              <w:spacing w:lineRule="auto" w:line="240" w:before="0" w:after="0"/>
              <w:jc w:val="center"/>
              <w:rPr>
                <w:rFonts w:ascii="Times New Roman" w:hAnsi="Times New Roman" w:eastAsia="Times New Roman" w:cs="Times New Roman"/>
                <w:b/>
                <w:bCs/>
                <w:caps/>
                <w:sz w:val="28"/>
                <w:szCs w:val="28"/>
                <w:lang w:eastAsia="ru-RU"/>
              </w:rPr>
            </w:pPr>
            <w:r>
              <w:rPr>
                <w:rFonts w:eastAsia="Times New Roman" w:cs="Times New Roman" w:ascii="Times New Roman" w:hAnsi="Times New Roman"/>
                <w:b/>
                <w:bCs/>
                <w:caps/>
                <w:kern w:val="0"/>
                <w:sz w:val="28"/>
                <w:szCs w:val="28"/>
                <w:lang w:val="uk-UA" w:eastAsia="ru-RU" w:bidi="ar-SA"/>
              </w:rPr>
              <w:t>Інформація про технічні, якісні характеристики предмета закупівлі</w:t>
            </w:r>
          </w:p>
          <w:p>
            <w:pPr>
              <w:pStyle w:val="Normal"/>
              <w:widowControl/>
              <w:spacing w:lineRule="auto" w:line="240" w:before="0" w:after="0"/>
              <w:jc w:val="both"/>
              <w:rPr>
                <w:rFonts w:ascii="Times New Roman" w:hAnsi="Times New Roman" w:eastAsia="Times New Roman" w:cs="Times New Roman"/>
                <w:b/>
                <w:color w:val="000000"/>
                <w:sz w:val="32"/>
                <w:szCs w:val="32"/>
                <w:u w:val="single"/>
                <w:lang w:eastAsia="ru-RU"/>
              </w:rPr>
            </w:pPr>
            <w:r>
              <w:rPr>
                <w:rFonts w:eastAsia="Times New Roman" w:cs="Times New Roman" w:ascii="Times New Roman" w:hAnsi="Times New Roman"/>
                <w:b/>
                <w:color w:val="000000"/>
                <w:kern w:val="0"/>
                <w:sz w:val="32"/>
                <w:szCs w:val="32"/>
                <w:u w:val="single"/>
                <w:lang w:val="uk-UA" w:eastAsia="ru-RU" w:bidi="ar-SA"/>
              </w:rPr>
            </w:r>
          </w:p>
          <w:p>
            <w:pPr>
              <w:pStyle w:val="Normal"/>
              <w:widowContro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uk-UA" w:eastAsia="en-US" w:bidi="ar-SA"/>
              </w:rPr>
              <w:t>Харчування учнів повинно повністю відповідати фізіологічній потребі дитячого організму у поживних речовинах та енергії відповідно до віково-статевих особливостей,  а також вимогам санітарного законодавства та нормам харчування, встановленим постановою Кабінету Міністрів України від 24 березня 2021 р. № 305.</w:t>
            </w:r>
          </w:p>
          <w:p>
            <w:pPr>
              <w:pStyle w:val="Normal"/>
              <w:widowContro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розраховує ціну послуги відповідно до примірного чотиритижневого сезонного меню для різних вікових груп, що також враховують особливі дієтичні потреби здобувачів освіти/дітей (у разі їх наявності), потребу у лікувальному харчуванні (у разі прийняття відповідного рішення засновником закладу) та сезонність (осінь, зима, весна, літо). Крім послуг їдальні, учасник може забезпечити відповідною дозволеною постановою Кабінету Міністрів України від 24 березня 2021 р. № 305 до реалізації в закладі освіти буфетною продукцією та забезпечити роботу буфету відповідним персоналом і обладнанням. Ціна послуг має включати в себе витрати на закупку продуктів, транспорт, приготування, а також витрати на прибирання та миття посуду, тощо. Ціна послуг  повинна включати в себе всі податки та збори, обов’язкові платежі.</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Кількість учнів може змінюватися  відповідно до фактичного відвідування.</w:t>
            </w:r>
          </w:p>
          <w:p>
            <w:pPr>
              <w:pStyle w:val="Normal"/>
              <w:widowContro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у пропозиції також враховує, що протягом року змінюється віковий та кількісний склад учнів, а також необхідність в організації дієтичного та, можливо, - лікувального харчування, тому можливі зміни в кількості дітей в кожній віковій групі та потребі у дієтичному та лікувальному харчуванні.</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має врахувати та суворо дотримуватися графіку харчування дітей визначеного керівником закладу.</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під час надання послуг повинен передбачити заходи із захисту довкілля, а саме надати гарантійний лист в довільній формі в якому гарантує застосування заходів із захисту довкілля.</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повинен забезпечити необхідну кількість штатного персоналу для приготування їжі, миття посуду, прибирання харчоблоку, видачі готових страв, повного сервірування столів та прибирання столів.</w:t>
            </w:r>
          </w:p>
          <w:p>
            <w:pPr>
              <w:pStyle w:val="Normal"/>
              <w:widowContro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Персонал, який планується залучати безпосередньо до приготування їжі, повинен мати медичні книжки з результатами проходження періодичних профілактичних медичних оглядів, та інші необхідні документи, в т.ч. і документи про відповідну професійну освіту оформлені у відповідності до діючого законодавства. Персонал повинен пройти гігієнічне навчання зі здачею заліку з гігієнічних знань.</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Продукти, які використовуються під час приготування їжі, повинні мати всі необхідні відповідно до законодавства документи, що підтверджують їх  якість та безпечність, та відповідати гігієнічним вимогам до харчових продуктів.</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Під час надання послуг та приготування їжі учасник забезпечує безперешкодний доступ на харчоблок працівникам замовника, здійснюючи контроль і нагляд, для проведення перевірки відповідності виробництва, зберігання, транспортування, реалізації і використання харчових продуктів.</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повинен щодня проводити бракераж готових страв за участю медичного працівника школи чи іншої визначеної керівником закладу відповідальною за проведення бракеражу особою/ами. У разі встановлення та актування бракеражем факту неякісного приготування готових страв їх заміна повинна бути проведена не пізніше ніж протягом двох годин (у  відповідності до вимог п.24 постанови 305). та забезпечити дотримання вимог щодо відбору  і  зберігання добових проб страв.</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Кількість учнів на харчування узгоджується замовником кожного дня.</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Протягом надання послуг учасник повинен забезпечувати їдальню достатньою кількістю столового та кухонного посуду, кухонного інвентаря, спеціального та санітарного одягу, миючими і дезінфікуючими засобами, здійснювати технічне обслуговування та поточний ремонт обладнання харчоблоку, здійснювати централізоване прання санітарного одягу, вживати заходи щодо забезпечення дотримання правил пожежної безпеки.</w:t>
            </w:r>
          </w:p>
          <w:p>
            <w:pPr>
              <w:pStyle w:val="Normal"/>
              <w:widowContro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Надання послуг повинно здійснюватися лише при наявності умов для дотримання правил особистої гігієни персоналом харчоблоку.</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Протягом надання послуг учасник повинен забезпечувати належний санітарний стан харчоблоку замовника.</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повинен передбачити проведення відомчого лабораторного контролю питної води,  готових страв, гігієнічних змивів з об’єктів навколишнього середовища, параметрів мікроклімату та освітленості в приміщеннях харчоблоку.</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 xml:space="preserve">Протягом надання послуг учасник повинен забезпечувати збереження приміщень та обладнання, розташованого в харчоблоку замовника. </w:t>
            </w:r>
            <w:r>
              <w:rPr>
                <w:rFonts w:eastAsia="Times New Roman" w:cs="Times New Roman" w:ascii="Times New Roman" w:hAnsi="Times New Roman"/>
                <w:kern w:val="0"/>
                <w:sz w:val="24"/>
                <w:szCs w:val="24"/>
                <w:highlight w:val="white"/>
                <w:lang w:val="uk-UA" w:eastAsia="uk-UA" w:bidi="ar-SA"/>
              </w:rPr>
              <w:t>У разі необхідності здійснювати проведення поточних ремонтів приміщень, інженерних мереж та відшкодування завданих збитків.</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На вимогу замовника учасник повинен представляти документи про якість та безпечність на усі продукти харчування, які використовуються для надання послуг.</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Учасник повинен надати замовнику послуги, якість яких відповідає наступним нормативним документам:</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Вимогам спільного наказу Міністерства охорони здоров’я України, Міністерства освіти і науки України 242/329 від 01.06.2005 «Про порядок організації харчування дітей у навчальних та оздоровчих закладах».</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Вимогам Постанови Кабінету Міністрів України від 24 березня 2021 р. № 305 «Про затвердження норм та Порядку організації харчування у закладах освіти та дитячих закладах оздоровлення та відпочинку»</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Вимогам Закон України «Про дитяче харчування» від 14.09.2006 № 142-V</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Порядку надання послуг з харчування дітей у дошкільних, учнів у загальноосвітніх навчальних закладах, операції з надання яких звільняються від обкладення податком на додану вартість,  затвердженим Постановою Кабінету Міністрів України № 116  від 02 лютого 2011 року (із змінами).</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Закону України «Про основні принципи та вимоги до безпечності та якості харчових продуктів» від 23.12.1997 № 771/97-ВР.</w:t>
            </w:r>
          </w:p>
          <w:p>
            <w:pPr>
              <w:pStyle w:val="Normal"/>
              <w:widowControl/>
              <w:spacing w:lineRule="auto" w:line="240" w:before="0" w:after="0"/>
              <w:ind w:hanging="2"/>
              <w:jc w:val="both"/>
              <w:rPr>
                <w:rFonts w:ascii="Times New Roman" w:hAnsi="Times New Roman" w:eastAsia="Times New Roman" w:cs="Times New Roman"/>
                <w:sz w:val="24"/>
                <w:szCs w:val="24"/>
                <w:lang w:eastAsia="uk-UA"/>
              </w:rPr>
            </w:pPr>
            <w:r>
              <w:rPr>
                <w:rFonts w:eastAsia="Times New Roman" w:cs="Times New Roman" w:ascii="Times New Roman" w:hAnsi="Times New Roman"/>
                <w:kern w:val="0"/>
                <w:sz w:val="24"/>
                <w:szCs w:val="24"/>
                <w:lang w:val="uk-UA" w:eastAsia="uk-UA" w:bidi="ar-SA"/>
              </w:rPr>
              <w:t>Наказу Міністерства охорони здоров’я України від 23.07.2002 №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хвороб».</w:t>
            </w:r>
          </w:p>
          <w:p>
            <w:pPr>
              <w:pStyle w:val="Normal"/>
              <w:widowControl/>
              <w:spacing w:lineRule="auto" w:line="240" w:before="0" w:after="0"/>
              <w:jc w:val="both"/>
              <w:rPr>
                <w:rFonts w:ascii="Times New Roman" w:hAnsi="Times New Roman" w:eastAsia="Times New Roman" w:cs="Times New Roman"/>
                <w:b/>
                <w:color w:val="000000"/>
                <w:sz w:val="32"/>
                <w:szCs w:val="32"/>
                <w:u w:val="single"/>
                <w:lang w:eastAsia="ru-RU"/>
              </w:rPr>
            </w:pPr>
            <w:r>
              <w:rPr>
                <w:rFonts w:eastAsia="Times New Roman" w:cs="Times New Roman" w:ascii="Times New Roman" w:hAnsi="Times New Roman"/>
                <w:kern w:val="0"/>
                <w:sz w:val="24"/>
                <w:szCs w:val="24"/>
                <w:lang w:val="uk-UA" w:eastAsia="uk-UA" w:bidi="ar-SA"/>
              </w:rPr>
              <w:t>Виконавець несе відповідальність за якість та безпеку готової продукції, яка видається до споживання згідно норм чинного законодавства України.</w:t>
            </w:r>
          </w:p>
          <w:p>
            <w:pPr>
              <w:pStyle w:val="Normal"/>
              <w:widowControl/>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r>
          </w:p>
        </w:tc>
        <w:tc>
          <w:tcPr>
            <w:tcW w:w="2835" w:type="dxa"/>
            <w:tcBorders/>
          </w:tcPr>
          <w:p>
            <w:pPr>
              <w:pStyle w:val="Normal"/>
              <w:widowControl/>
              <w:spacing w:lineRule="auto" w:line="240" w:before="0" w:after="0"/>
              <w:jc w:val="both"/>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uk-UA" w:eastAsia="en-US" w:bidi="ar-SA"/>
              </w:rPr>
              <w:t>Визначення очікуваної вартості предмета закупівлі обумовлено статистичним аналізом загальнодоступної інформації (загальнодоступної інформації в мережі Інтернет, а також в електронній системі закупівель Prozorro, аналізу закупівельних цін попередніх років ).</w:t>
            </w:r>
          </w:p>
          <w:p>
            <w:pPr>
              <w:pStyle w:val="Normal"/>
              <w:widowControl/>
              <w:spacing w:lineRule="auto" w:line="240" w:before="0" w:after="0"/>
              <w:jc w:val="left"/>
              <w:rPr>
                <w:rStyle w:val="Price"/>
                <w:rFonts w:ascii="Times New Roman" w:hAnsi="Times New Roman" w:cs="Times New Roman"/>
                <w:bCs/>
                <w:sz w:val="24"/>
                <w:szCs w:val="24"/>
              </w:rPr>
            </w:pPr>
            <w:r>
              <w:rPr>
                <w:rFonts w:eastAsia="Calibri" w:cs="Times New Roman" w:ascii="Times New Roman" w:hAnsi="Times New Roman"/>
                <w:kern w:val="0"/>
                <w:sz w:val="24"/>
                <w:szCs w:val="24"/>
                <w:lang w:val="uk-UA" w:eastAsia="en-US" w:bidi="ar-SA"/>
              </w:rPr>
              <w:t xml:space="preserve">Розмір бюджетного призначення складає </w:t>
            </w:r>
            <w:r>
              <w:rPr>
                <w:rFonts w:eastAsia="Calibri" w:cs="Arial" w:ascii="Arial" w:hAnsi="Arial"/>
                <w:color w:val="454545"/>
                <w:kern w:val="0"/>
                <w:sz w:val="24"/>
                <w:szCs w:val="24"/>
                <w:lang w:val="uk-UA" w:eastAsia="en-US" w:bidi="ar-SA"/>
              </w:rPr>
              <w:t xml:space="preserve"> </w:t>
            </w:r>
            <w:r>
              <w:rPr>
                <w:rStyle w:val="Price"/>
                <w:rFonts w:cs="Arial" w:ascii="Times New Roman" w:hAnsi="Times New Roman"/>
                <w:bCs/>
                <w:color w:val="000000"/>
                <w:sz w:val="24"/>
                <w:szCs w:val="24"/>
              </w:rPr>
              <w:t>1 577 950,00</w:t>
            </w:r>
            <w:r>
              <w:rPr>
                <w:rStyle w:val="Price"/>
                <w:rFonts w:eastAsia="Calibri" w:cs="Times New Roman" w:ascii="Times New Roman" w:hAnsi="Times New Roman"/>
                <w:bCs/>
                <w:kern w:val="0"/>
                <w:sz w:val="24"/>
                <w:szCs w:val="24"/>
                <w:lang w:val="uk-UA" w:eastAsia="en-US" w:bidi="ar-SA"/>
              </w:rPr>
              <w:t xml:space="preserve"> грн. 00 коп.</w:t>
            </w:r>
          </w:p>
          <w:p>
            <w:pPr>
              <w:pStyle w:val="Normal"/>
              <w:widowControl/>
              <w:spacing w:lineRule="auto" w:line="240" w:before="0" w:after="0"/>
              <w:jc w:val="left"/>
              <w:rPr>
                <w:rFonts w:ascii="Arial" w:hAnsi="Arial" w:cs="Arial"/>
                <w:color w:val="454545"/>
                <w:sz w:val="24"/>
                <w:szCs w:val="24"/>
              </w:rPr>
            </w:pPr>
            <w:r>
              <w:rPr>
                <w:rFonts w:eastAsia="Calibri" w:cs="Times New Roman" w:ascii="Times New Roman" w:hAnsi="Times New Roman"/>
                <w:kern w:val="0"/>
                <w:sz w:val="24"/>
                <w:szCs w:val="24"/>
                <w:lang w:val="uk-UA" w:eastAsia="en-US" w:bidi="ar-SA"/>
              </w:rPr>
              <w:t>без ПДВ</w:t>
            </w:r>
          </w:p>
          <w:p>
            <w:pPr>
              <w:pStyle w:val="Normal"/>
              <w:widowControl/>
              <w:spacing w:lineRule="auto" w:line="240" w:before="0" w:after="0"/>
              <w:jc w:val="left"/>
              <w:rPr>
                <w:rFonts w:ascii="Arial" w:hAnsi="Arial" w:cs="Arial"/>
                <w:color w:val="33C15F"/>
                <w:sz w:val="20"/>
                <w:szCs w:val="20"/>
                <w:highlight w:val="yellow"/>
                <w:shd w:fill="FFFFFF" w:val="clear"/>
              </w:rPr>
            </w:pPr>
            <w:r>
              <w:rPr>
                <w:rFonts w:eastAsia="Calibri" w:cs="Times New Roman" w:ascii="Times New Roman" w:hAnsi="Times New Roman"/>
                <w:kern w:val="0"/>
                <w:sz w:val="24"/>
                <w:szCs w:val="24"/>
                <w:lang w:val="uk-UA" w:eastAsia="en-US" w:bidi="ar-SA"/>
              </w:rPr>
              <w:t>у межах затверджених орієнтовних обсягів фінансування на 2024 рік</w:t>
            </w:r>
          </w:p>
          <w:p>
            <w:pPr>
              <w:pStyle w:val="Normal"/>
              <w:widowControl/>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uk-UA" w:eastAsia="en-US" w:bidi="ar-SA"/>
              </w:rPr>
            </w:r>
          </w:p>
        </w:tc>
      </w:tr>
    </w:tbl>
    <w:p>
      <w:pPr>
        <w:pStyle w:val="Normal"/>
        <w:spacing w:lineRule="auto" w:line="240" w:before="0" w:after="0"/>
        <w:jc w:val="center"/>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spacing w:lineRule="auto" w:line="240" w:before="0" w:after="0"/>
        <w:jc w:val="center"/>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spacing w:lineRule="auto" w:line="240" w:before="0" w:after="0"/>
        <w:jc w:val="center"/>
        <w:rPr>
          <w:rFonts w:ascii="Times New Roman" w:hAnsi="Times New Roman" w:eastAsia="Calibri" w:cs="Times New Roman"/>
          <w:b/>
          <w:color w:val="000000"/>
          <w:sz w:val="24"/>
          <w:szCs w:val="24"/>
          <w:lang w:val="en-US"/>
        </w:rPr>
      </w:pPr>
      <w:r>
        <w:rPr>
          <w:rFonts w:eastAsia="Calibri" w:cs="Times New Roman" w:ascii="Times New Roman" w:hAnsi="Times New Roman"/>
          <w:sz w:val="28"/>
          <w:szCs w:val="28"/>
        </w:rPr>
        <w:t xml:space="preserve">Уповноважена особа                              </w:t>
      </w:r>
      <w:bookmarkStart w:id="1" w:name="_GoBack"/>
      <w:bookmarkEnd w:id="1"/>
      <w:r>
        <w:rPr>
          <w:rFonts w:eastAsia="Calibri" w:cs="Times New Roman" w:ascii="Times New Roman" w:hAnsi="Times New Roman"/>
          <w:b w:val="false"/>
          <w:bCs w:val="false"/>
          <w:color w:val="000000"/>
          <w:sz w:val="24"/>
          <w:szCs w:val="24"/>
          <w:lang w:val="en-US"/>
        </w:rPr>
        <w:t>О</w:t>
      </w:r>
      <w:r>
        <w:rPr>
          <w:rFonts w:eastAsia="Calibri" w:cs="Times New Roman" w:ascii="Times New Roman" w:hAnsi="Times New Roman"/>
          <w:b w:val="false"/>
          <w:bCs w:val="false"/>
          <w:color w:val="000000"/>
          <w:sz w:val="24"/>
          <w:szCs w:val="24"/>
          <w:lang w:val="uk-UA"/>
        </w:rPr>
        <w:t>льга ДЕМЧУК</w:t>
      </w:r>
    </w:p>
    <w:sectPr>
      <w:type w:val="nextPage"/>
      <w:pgSz w:w="11906" w:h="16838"/>
      <w:pgMar w:left="1417" w:right="850" w:gutter="0" w:header="0" w:top="850" w:footer="0" w:bottom="5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uk-UA" w:eastAsia="en-US" w:bidi="ar-SA"/>
    </w:rPr>
  </w:style>
  <w:style w:type="paragraph" w:styleId="Heading1">
    <w:name w:val="Heading 1"/>
    <w:basedOn w:val="Normal"/>
    <w:next w:val="Normal"/>
    <w:link w:val="1"/>
    <w:uiPriority w:val="9"/>
    <w:qFormat/>
    <w:rsid w:val="00d2724f"/>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Green" w:customStyle="1">
    <w:name w:val="green"/>
    <w:basedOn w:val="DefaultParagraphFont"/>
    <w:qFormat/>
    <w:rsid w:val="003e0d4a"/>
    <w:rPr/>
  </w:style>
  <w:style w:type="character" w:styleId="Nr-t" w:customStyle="1">
    <w:name w:val="nr-t"/>
    <w:basedOn w:val="DefaultParagraphFont"/>
    <w:qFormat/>
    <w:rsid w:val="00d2724f"/>
    <w:rPr/>
  </w:style>
  <w:style w:type="character" w:styleId="1" w:customStyle="1">
    <w:name w:val="Заголовок 1 Знак"/>
    <w:basedOn w:val="DefaultParagraphFont"/>
    <w:uiPriority w:val="9"/>
    <w:qFormat/>
    <w:rsid w:val="00d2724f"/>
    <w:rPr>
      <w:rFonts w:ascii="Calibri Light" w:hAnsi="Calibri Light" w:eastAsia="" w:cs="" w:asciiTheme="majorHAnsi" w:cstheme="majorBidi" w:eastAsiaTheme="majorEastAsia" w:hAnsiTheme="majorHAnsi"/>
      <w:color w:themeColor="accent1" w:themeShade="bf" w:val="2E74B5"/>
      <w:sz w:val="32"/>
      <w:szCs w:val="32"/>
    </w:rPr>
  </w:style>
  <w:style w:type="character" w:styleId="Price" w:customStyle="1">
    <w:name w:val="price"/>
    <w:basedOn w:val="DefaultParagraphFont"/>
    <w:qFormat/>
    <w:rsid w:val="00141d63"/>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rPr>
  </w:style>
  <w:style w:type="paragraph" w:styleId="Style15">
    <w:name w:val="Вміст рам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e05c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99</TotalTime>
  <Application>LibreOffice/7.6.3.2$Windows_X86_64 LibreOffice_project/29d686fea9f6705b262d369fede658f824154cc0</Application>
  <AppVersion>15.0000</AppVersion>
  <Pages>4</Pages>
  <Words>887</Words>
  <Characters>6264</Characters>
  <CharactersWithSpaces>7158</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2022-05-23T12:37:00Z</dcterms:created>
  <dc:creator>Адміністратор</dc:creator>
  <dc:description/>
  <dc:language>uk-UA</dc:language>
  <cp:lastModifiedBy/>
  <dcterms:modified xsi:type="dcterms:W3CDTF">2023-12-26T11:07:37Z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